
<file path=[Content_Types].xml><?xml version="1.0" encoding="utf-8"?>
<Types xmlns="http://schemas.openxmlformats.org/package/2006/content-types">
  <Default Extension="xml" ContentType="application/xml"/>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pPr>
      <w:r>
        <mc:AlternateContent>
          <mc:Choice Requires="wps">
            <w:drawing>
              <wp:anchor distT="0" distB="0" distL="114300" distR="114300" simplePos="0" relativeHeight="251649024" behindDoc="0" locked="0" layoutInCell="1" allowOverlap="1">
                <wp:simplePos x="0" y="0"/>
                <wp:positionH relativeFrom="column">
                  <wp:posOffset>-24130</wp:posOffset>
                </wp:positionH>
                <wp:positionV relativeFrom="paragraph">
                  <wp:posOffset>8797290</wp:posOffset>
                </wp:positionV>
                <wp:extent cx="5939790" cy="0"/>
                <wp:effectExtent l="0" t="0" r="22860" b="19050"/>
                <wp:wrapNone/>
                <wp:docPr id="18" name="Line 11"/>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9pt;margin-top:692.7pt;height:0pt;width:467.7pt;z-index:251649024;mso-width-relative:page;mso-height-relative:page;" filled="f" stroked="t" coordsize="21600,21600" o:gfxdata="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Ctk&#10;sRDYAAAADAEAAA8AAAAAAAAAAQAgAAAAIgAAAGRycy9kb3ducmV2LnhtbFBLAQIUABQAAAAIAIdO&#10;4kBjVU/osQEAAFQDAAAOAAAAAAAAAAEAIAAAACcBAABkcnMvZTJvRG9jLnhtbFBLBQYAAAAABgAG&#10;AFkBAABKBQAAAAA=&#10;">
                <v:fill on="f" focussize="0,0"/>
                <v:stroke weight="1pt" color="#080000" joinstyle="round"/>
                <v:imagedata o:title=""/>
                <o:lock v:ext="edit" aspectratio="f"/>
              </v:line>
            </w:pict>
          </mc:Fallback>
        </mc:AlternateContent>
      </w:r>
      <w:r>
        <w:rPr>
          <w:szCs w:val="84"/>
        </w:rPr>
        <w:drawing>
          <wp:anchor distT="0" distB="0" distL="114300" distR="114300" simplePos="0" relativeHeight="251644928" behindDoc="0" locked="0" layoutInCell="1" allowOverlap="1">
            <wp:simplePos x="0" y="0"/>
            <wp:positionH relativeFrom="column">
              <wp:posOffset>3605530</wp:posOffset>
            </wp:positionH>
            <wp:positionV relativeFrom="paragraph">
              <wp:posOffset>-8255</wp:posOffset>
            </wp:positionV>
            <wp:extent cx="1914525" cy="733425"/>
            <wp:effectExtent l="0" t="0" r="9525" b="9525"/>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14525" cy="733425"/>
                    </a:xfrm>
                    <a:prstGeom prst="rect">
                      <a:avLst/>
                    </a:prstGeom>
                    <a:noFill/>
                    <a:ln>
                      <a:noFill/>
                    </a:ln>
                  </pic:spPr>
                </pic:pic>
              </a:graphicData>
            </a:graphic>
          </wp:anchor>
        </w:drawing>
      </w:r>
      <w:r>
        <mc:AlternateContent>
          <mc:Choice Requires="wps">
            <w:drawing>
              <wp:anchor distT="0" distB="0" distL="114300" distR="114300" simplePos="0" relativeHeight="251661312" behindDoc="0" locked="1" layoutInCell="1" allowOverlap="1">
                <wp:simplePos x="0" y="0"/>
                <wp:positionH relativeFrom="margin">
                  <wp:posOffset>360045</wp:posOffset>
                </wp:positionH>
                <wp:positionV relativeFrom="margin">
                  <wp:posOffset>8461375</wp:posOffset>
                </wp:positionV>
                <wp:extent cx="2019300" cy="313055"/>
                <wp:effectExtent l="0" t="0" r="0" b="0"/>
                <wp:wrapNone/>
                <wp:docPr id="2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600" cy="313200"/>
                        </a:xfrm>
                        <a:prstGeom prst="rect">
                          <a:avLst/>
                        </a:prstGeom>
                        <a:solidFill>
                          <a:srgbClr val="FFFFFF"/>
                        </a:solidFill>
                        <a:ln>
                          <a:noFill/>
                        </a:ln>
                      </wps:spPr>
                      <wps:txbx>
                        <w:txbxContent>
                          <w:p>
                            <w:pPr>
                              <w:pStyle w:val="21"/>
                              <w:rPr>
                                <w:rFonts w:ascii="黑体" w:hAnsi="黑体"/>
                                <w:bCs/>
                              </w:rPr>
                            </w:pPr>
                            <w:r>
                              <w:rPr>
                                <w:rFonts w:hint="eastAsia" w:ascii="黑体" w:hAnsi="黑体"/>
                                <w:bCs/>
                                <w:color w:val="FF0000"/>
                              </w:rPr>
                              <w:t>2018-**</w:t>
                            </w:r>
                            <w:r>
                              <w:rPr>
                                <w:rFonts w:ascii="黑体" w:hAnsi="黑体"/>
                                <w:bCs/>
                                <w:color w:val="FF0000"/>
                              </w:rPr>
                              <w:t>-</w:t>
                            </w:r>
                            <w:r>
                              <w:rPr>
                                <w:rFonts w:hint="eastAsia" w:ascii="黑体" w:hAnsi="黑体"/>
                                <w:bCs/>
                                <w:color w:val="FF0000"/>
                              </w:rPr>
                              <w:t>**</w:t>
                            </w:r>
                            <w:r>
                              <w:rPr>
                                <w:rFonts w:hint="eastAsia" w:ascii="黑体" w:hAnsi="黑体"/>
                                <w:bCs/>
                              </w:rPr>
                              <w:t>发布</w:t>
                            </w:r>
                          </w:p>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28.35pt;margin-top:666.25pt;height:24.65pt;width:159pt;mso-position-horizontal-relative:margin;mso-position-vertical-relative:margin;z-index:251661312;mso-width-relative:page;mso-height-relative:page;" fillcolor="#FFFFFF" filled="t" stroked="f" coordsize="21600,21600" o:gfxdata="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0ArN5doAAAAMAQAADwAAAAAAAAABACAAAAAiAAAAZHJzL2Rvd25yZXYueG1sUEsB&#10;AhQAFAAAAAgAh07iQH0HDRPzAQAA3gMAAA4AAAAAAAAAAQAgAAAAKQEAAGRycy9lMm9Eb2MueG1s&#10;UEsFBgAAAAAGAAYAWQEAAI4FAAAAAA==&#10;">
                <v:fill on="t" focussize="0,0"/>
                <v:stroke on="f"/>
                <v:imagedata o:title=""/>
                <o:lock v:ext="edit" aspectratio="f"/>
                <v:textbox inset="0mm,0mm,0mm,0mm">
                  <w:txbxContent>
                    <w:p>
                      <w:pPr>
                        <w:pStyle w:val="21"/>
                        <w:rPr>
                          <w:rFonts w:ascii="黑体" w:hAnsi="黑体"/>
                          <w:bCs/>
                        </w:rPr>
                      </w:pPr>
                      <w:r>
                        <w:rPr>
                          <w:rFonts w:hint="eastAsia" w:ascii="黑体" w:hAnsi="黑体"/>
                          <w:bCs/>
                          <w:color w:val="FF0000"/>
                        </w:rPr>
                        <w:t>2018-**</w:t>
                      </w:r>
                      <w:r>
                        <w:rPr>
                          <w:rFonts w:ascii="黑体" w:hAnsi="黑体"/>
                          <w:bCs/>
                          <w:color w:val="FF0000"/>
                        </w:rPr>
                        <w:t>-</w:t>
                      </w:r>
                      <w:r>
                        <w:rPr>
                          <w:rFonts w:hint="eastAsia" w:ascii="黑体" w:hAnsi="黑体"/>
                          <w:bCs/>
                          <w:color w:val="FF0000"/>
                        </w:rPr>
                        <w:t>**</w:t>
                      </w:r>
                      <w:r>
                        <w:rPr>
                          <w:rFonts w:hint="eastAsia" w:ascii="黑体" w:hAnsi="黑体"/>
                          <w:bCs/>
                        </w:rPr>
                        <w:t>发布</w:t>
                      </w:r>
                    </w:p>
                    <w:p/>
                  </w:txbxContent>
                </v:textbox>
                <w10:anchorlock/>
              </v:shape>
            </w:pict>
          </mc:Fallback>
        </mc:AlternateContent>
      </w:r>
      <w:r>
        <mc:AlternateContent>
          <mc:Choice Requires="wps">
            <w:drawing>
              <wp:anchor distT="0" distB="0" distL="114300" distR="114300" simplePos="0" relativeHeight="251658240" behindDoc="0" locked="1" layoutInCell="1" allowOverlap="1">
                <wp:simplePos x="0" y="0"/>
                <wp:positionH relativeFrom="margin">
                  <wp:posOffset>-135890</wp:posOffset>
                </wp:positionH>
                <wp:positionV relativeFrom="margin">
                  <wp:posOffset>8860790</wp:posOffset>
                </wp:positionV>
                <wp:extent cx="5939790" cy="330835"/>
                <wp:effectExtent l="0" t="0" r="3810" b="0"/>
                <wp:wrapNone/>
                <wp:docPr id="17" name="fmFrame7"/>
                <wp:cNvGraphicFramePr/>
                <a:graphic xmlns:a="http://schemas.openxmlformats.org/drawingml/2006/main">
                  <a:graphicData uri="http://schemas.microsoft.com/office/word/2010/wordprocessingShape">
                    <wps:wsp>
                      <wps:cNvSpPr txBox="1">
                        <a:spLocks noChangeArrowheads="1"/>
                      </wps:cNvSpPr>
                      <wps:spPr bwMode="auto">
                        <a:xfrm>
                          <a:off x="0" y="0"/>
                          <a:ext cx="5939790" cy="330835"/>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23"/>
                              <w:ind w:firstLine="800"/>
                              <w:rPr>
                                <w:w w:val="100"/>
                              </w:rPr>
                            </w:pPr>
                            <w:r>
                              <w:rPr>
                                <w:rFonts w:hint="eastAsia"/>
                                <w:w w:val="100"/>
                              </w:rPr>
                              <w:t xml:space="preserve">中华人民共和国工业和信息化部 </w:t>
                            </w:r>
                            <w:r>
                              <w:rPr>
                                <w:rFonts w:hint="eastAsia" w:hAnsi="黑体"/>
                                <w:spacing w:val="85"/>
                                <w:w w:val="100"/>
                                <w:sz w:val="28"/>
                                <w:szCs w:val="28"/>
                              </w:rPr>
                              <w:t>发</w:t>
                            </w:r>
                            <w:r>
                              <w:rPr>
                                <w:rFonts w:hint="eastAsia" w:hAnsi="黑体"/>
                                <w:w w:val="100"/>
                                <w:sz w:val="28"/>
                                <w:szCs w:val="28"/>
                              </w:rPr>
                              <w:t>布</w:t>
                            </w:r>
                          </w:p>
                        </w:txbxContent>
                      </wps:txbx>
                      <wps:bodyPr rot="0" vert="horz" wrap="square" lIns="0" tIns="0" rIns="0" bIns="0" anchor="b" anchorCtr="0" upright="1">
                        <a:spAutoFit/>
                      </wps:bodyPr>
                    </wps:wsp>
                  </a:graphicData>
                </a:graphic>
              </wp:anchor>
            </w:drawing>
          </mc:Choice>
          <mc:Fallback>
            <w:pict>
              <v:shape id="fmFrame7" o:spid="_x0000_s1026" o:spt="202" type="#_x0000_t202" style="position:absolute;left:0pt;margin-left:-10.7pt;margin-top:697.7pt;height:26.05pt;width:467.7pt;mso-position-horizontal-relative:margin;mso-position-vertical-relative:margin;z-index:251658240;v-text-anchor:bottom;mso-width-relative:page;mso-height-relative:page;" fillcolor="#FFFFFF [3201]" filled="t" stroked="f" coordsize="21600,21600" o:gfxdata="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f9sgO9kAAAANAQAADwAAAAAAAAABACAAAAAiAAAAZHJzL2Rvd25yZXYueG1sUEsBAhQAFAAA&#10;AAgAh07iQFWtfYMnAgAAOQQAAA4AAAAAAAAAAQAgAAAAKAEAAGRycy9lMm9Eb2MueG1sUEsFBgAA&#10;AAAGAAYAWQEAAMEFAAAAAA==&#10;">
                <v:fill on="t" focussize="0,0"/>
                <v:stroke on="f" weight="1pt" miterlimit="8" joinstyle="miter"/>
                <v:imagedata o:title=""/>
                <o:lock v:ext="edit" aspectratio="f"/>
                <v:textbox inset="0mm,0mm,0mm,0mm" style="mso-fit-shape-to-text:t;">
                  <w:txbxContent>
                    <w:p>
                      <w:pPr>
                        <w:pStyle w:val="23"/>
                        <w:ind w:firstLine="800"/>
                        <w:rPr>
                          <w:w w:val="100"/>
                        </w:rPr>
                      </w:pPr>
                      <w:r>
                        <w:rPr>
                          <w:rFonts w:hint="eastAsia"/>
                          <w:w w:val="100"/>
                        </w:rPr>
                        <w:t xml:space="preserve">中华人民共和国工业和信息化部 </w:t>
                      </w:r>
                      <w:r>
                        <w:rPr>
                          <w:rFonts w:hint="eastAsia" w:hAnsi="黑体"/>
                          <w:spacing w:val="85"/>
                          <w:w w:val="100"/>
                          <w:sz w:val="28"/>
                          <w:szCs w:val="28"/>
                        </w:rPr>
                        <w:t>发</w:t>
                      </w:r>
                      <w:r>
                        <w:rPr>
                          <w:rFonts w:hint="eastAsia" w:hAnsi="黑体"/>
                          <w:w w:val="100"/>
                          <w:sz w:val="28"/>
                          <w:szCs w:val="28"/>
                        </w:rPr>
                        <w:t>布</w:t>
                      </w:r>
                    </w:p>
                  </w:txbxContent>
                </v:textbox>
                <w10:anchorlock/>
              </v:shape>
            </w:pict>
          </mc:Fallback>
        </mc:AlternateContent>
      </w:r>
      <w:r>
        <mc:AlternateContent>
          <mc:Choice Requires="wps">
            <w:drawing>
              <wp:anchor distT="0" distB="0" distL="114300" distR="114300" simplePos="0" relativeHeight="251657216" behindDoc="0" locked="1" layoutInCell="1" allowOverlap="1">
                <wp:simplePos x="0" y="0"/>
                <wp:positionH relativeFrom="page">
                  <wp:posOffset>4446905</wp:posOffset>
                </wp:positionH>
                <wp:positionV relativeFrom="margin">
                  <wp:posOffset>8462645</wp:posOffset>
                </wp:positionV>
                <wp:extent cx="2019300" cy="313055"/>
                <wp:effectExtent l="0" t="0" r="0" b="0"/>
                <wp:wrapNone/>
                <wp:docPr id="2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3055"/>
                        </a:xfrm>
                        <a:prstGeom prst="rect">
                          <a:avLst/>
                        </a:prstGeom>
                        <a:solidFill>
                          <a:srgbClr val="FFFFFF"/>
                        </a:solidFill>
                        <a:ln>
                          <a:noFill/>
                        </a:ln>
                      </wps:spPr>
                      <wps:txbx>
                        <w:txbxContent>
                          <w:p>
                            <w:pPr>
                              <w:pStyle w:val="22"/>
                              <w:wordWrap w:val="0"/>
                              <w:rPr>
                                <w:rFonts w:ascii="黑体" w:hAnsi="黑体"/>
                                <w:bCs/>
                              </w:rPr>
                            </w:pPr>
                            <w:r>
                              <w:rPr>
                                <w:rFonts w:hint="eastAsia" w:ascii="黑体" w:hAnsi="黑体"/>
                                <w:bCs/>
                                <w:color w:val="FF0000"/>
                              </w:rPr>
                              <w:t>2018</w:t>
                            </w:r>
                            <w:r>
                              <w:rPr>
                                <w:rFonts w:ascii="黑体" w:hAnsi="黑体"/>
                                <w:bCs/>
                                <w:color w:val="FF0000"/>
                              </w:rPr>
                              <w:t>-</w:t>
                            </w:r>
                            <w:r>
                              <w:rPr>
                                <w:rFonts w:hint="eastAsia" w:ascii="黑体" w:hAnsi="黑体"/>
                                <w:bCs/>
                                <w:color w:val="FF0000"/>
                              </w:rPr>
                              <w:t>**</w:t>
                            </w:r>
                            <w:r>
                              <w:rPr>
                                <w:rFonts w:ascii="黑体" w:hAnsi="黑体"/>
                                <w:bCs/>
                                <w:color w:val="FF0000"/>
                              </w:rPr>
                              <w:t>-</w:t>
                            </w:r>
                            <w:r>
                              <w:rPr>
                                <w:rFonts w:hint="eastAsia" w:ascii="黑体" w:hAnsi="黑体"/>
                                <w:bCs/>
                                <w:color w:val="FF0000"/>
                              </w:rPr>
                              <w:t>**</w:t>
                            </w:r>
                            <w:r>
                              <w:rPr>
                                <w:rFonts w:hint="eastAsia" w:ascii="黑体" w:hAnsi="黑体"/>
                                <w:bCs/>
                              </w:rPr>
                              <w:t>实施</w:t>
                            </w:r>
                          </w:p>
                          <w:p>
                            <w:pPr>
                              <w:pStyle w:val="22"/>
                              <w:ind w:right="420"/>
                              <w:rPr>
                                <w:rFonts w:ascii="黑体" w:hAnsi="黑体"/>
                                <w:bCs/>
                              </w:rPr>
                            </w:pPr>
                          </w:p>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50.15pt;margin-top:666.35pt;height:24.65pt;width:159pt;mso-position-horizontal-relative:page;mso-position-vertical-relative:margin;z-index:251657216;mso-width-relative:page;mso-height-relative:page;" fillcolor="#FFFFFF" filled="t" stroked="f" coordsize="21600,21600" o:gfxdata="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16sSf2gAAAA4BAAAPAAAAAAAAAAEAIAAAACIAAABkcnMvZG93bnJldi54bWxQ&#10;SwECFAAUAAAACACHTuJAf4OZCfUBAADeAwAADgAAAAAAAAABACAAAAApAQAAZHJzL2Uyb0RvYy54&#10;bWxQSwUGAAAAAAYABgBZAQAAkAUAAAAA&#10;">
                <v:fill on="t" focussize="0,0"/>
                <v:stroke on="f"/>
                <v:imagedata o:title=""/>
                <o:lock v:ext="edit" aspectratio="f"/>
                <v:textbox inset="0mm,0mm,0mm,0mm">
                  <w:txbxContent>
                    <w:p>
                      <w:pPr>
                        <w:pStyle w:val="22"/>
                        <w:wordWrap w:val="0"/>
                        <w:rPr>
                          <w:rFonts w:ascii="黑体" w:hAnsi="黑体"/>
                          <w:bCs/>
                        </w:rPr>
                      </w:pPr>
                      <w:r>
                        <w:rPr>
                          <w:rFonts w:hint="eastAsia" w:ascii="黑体" w:hAnsi="黑体"/>
                          <w:bCs/>
                          <w:color w:val="FF0000"/>
                        </w:rPr>
                        <w:t>2018</w:t>
                      </w:r>
                      <w:r>
                        <w:rPr>
                          <w:rFonts w:ascii="黑体" w:hAnsi="黑体"/>
                          <w:bCs/>
                          <w:color w:val="FF0000"/>
                        </w:rPr>
                        <w:t>-</w:t>
                      </w:r>
                      <w:r>
                        <w:rPr>
                          <w:rFonts w:hint="eastAsia" w:ascii="黑体" w:hAnsi="黑体"/>
                          <w:bCs/>
                          <w:color w:val="FF0000"/>
                        </w:rPr>
                        <w:t>**</w:t>
                      </w:r>
                      <w:r>
                        <w:rPr>
                          <w:rFonts w:ascii="黑体" w:hAnsi="黑体"/>
                          <w:bCs/>
                          <w:color w:val="FF0000"/>
                        </w:rPr>
                        <w:t>-</w:t>
                      </w:r>
                      <w:r>
                        <w:rPr>
                          <w:rFonts w:hint="eastAsia" w:ascii="黑体" w:hAnsi="黑体"/>
                          <w:bCs/>
                          <w:color w:val="FF0000"/>
                        </w:rPr>
                        <w:t>**</w:t>
                      </w:r>
                      <w:r>
                        <w:rPr>
                          <w:rFonts w:hint="eastAsia" w:ascii="黑体" w:hAnsi="黑体"/>
                          <w:bCs/>
                        </w:rPr>
                        <w:t>实施</w:t>
                      </w:r>
                    </w:p>
                    <w:p>
                      <w:pPr>
                        <w:pStyle w:val="22"/>
                        <w:ind w:right="420"/>
                        <w:rPr>
                          <w:rFonts w:ascii="黑体" w:hAnsi="黑体"/>
                          <w:bCs/>
                        </w:rPr>
                      </w:pPr>
                    </w:p>
                    <w:p/>
                  </w:txbxContent>
                </v:textbox>
                <w10:anchorlock/>
              </v:shape>
            </w:pict>
          </mc:Fallback>
        </mc:AlternateContent>
      </w:r>
      <w:r>
        <w:rPr>
          <w:rFonts w:cs="Times New Roman"/>
        </w:rPr>
        <mc:AlternateContent>
          <mc:Choice Requires="wps">
            <w:drawing>
              <wp:anchor distT="0" distB="0" distL="114300" distR="114300" simplePos="0" relativeHeight="251655168" behindDoc="0" locked="1" layoutInCell="1" allowOverlap="1">
                <wp:simplePos x="0" y="0"/>
                <wp:positionH relativeFrom="margin">
                  <wp:posOffset>0</wp:posOffset>
                </wp:positionH>
                <wp:positionV relativeFrom="margin">
                  <wp:posOffset>3780790</wp:posOffset>
                </wp:positionV>
                <wp:extent cx="5939790" cy="4262120"/>
                <wp:effectExtent l="0" t="0" r="3810" b="5080"/>
                <wp:wrapNone/>
                <wp:docPr id="14" name="fmFrame4"/>
                <wp:cNvGraphicFramePr/>
                <a:graphic xmlns:a="http://schemas.openxmlformats.org/drawingml/2006/main">
                  <a:graphicData uri="http://schemas.microsoft.com/office/word/2010/wordprocessingShape">
                    <wps:wsp>
                      <wps:cNvSpPr txBox="1">
                        <a:spLocks noChangeArrowheads="1"/>
                      </wps:cNvSpPr>
                      <wps:spPr bwMode="auto">
                        <a:xfrm>
                          <a:off x="0" y="0"/>
                          <a:ext cx="5940000" cy="4262400"/>
                        </a:xfrm>
                        <a:prstGeom prst="rect">
                          <a:avLst/>
                        </a:prstGeom>
                        <a:solidFill>
                          <a:sysClr val="window" lastClr="FFFFFF"/>
                        </a:solidFill>
                        <a:ln w="12700" cap="flat" cmpd="sng" algn="ctr">
                          <a:noFill/>
                          <a:prstDash val="solid"/>
                          <a:miter lim="800000"/>
                        </a:ln>
                        <a:effectLst/>
                      </wps:spPr>
                      <wps:txbx>
                        <w:txbxContent>
                          <w:p>
                            <w:pPr>
                              <w:pStyle w:val="27"/>
                              <w:spacing w:after="567"/>
                            </w:pPr>
                            <w:r>
                              <w:rPr>
                                <w:rFonts w:hint="eastAsia"/>
                              </w:rPr>
                              <w:t>旋转疲劳试验机校准规范</w:t>
                            </w:r>
                          </w:p>
                          <w:p>
                            <w:pPr>
                              <w:pStyle w:val="20"/>
                              <w:spacing w:before="0" w:line="280" w:lineRule="exact"/>
                              <w:rPr>
                                <w:rFonts w:eastAsia="黑体"/>
                                <w:szCs w:val="28"/>
                              </w:rPr>
                            </w:pPr>
                            <w:r>
                              <w:rPr>
                                <w:rFonts w:eastAsia="黑体"/>
                                <w:kern w:val="36"/>
                                <w:szCs w:val="28"/>
                              </w:rPr>
                              <w:t>Calibration Specification for</w:t>
                            </w:r>
                            <w:r>
                              <w:rPr>
                                <w:rFonts w:eastAsia="黑体"/>
                                <w:szCs w:val="28"/>
                              </w:rPr>
                              <w:t xml:space="preserve"> Rotary </w:t>
                            </w:r>
                            <w:r>
                              <w:rPr>
                                <w:rFonts w:hint="eastAsia" w:eastAsia="黑体"/>
                                <w:szCs w:val="28"/>
                              </w:rPr>
                              <w:t>F</w:t>
                            </w:r>
                            <w:r>
                              <w:rPr>
                                <w:rFonts w:eastAsia="黑体"/>
                                <w:szCs w:val="28"/>
                              </w:rPr>
                              <w:t xml:space="preserve">atigue </w:t>
                            </w:r>
                            <w:r>
                              <w:rPr>
                                <w:rFonts w:hint="eastAsia" w:eastAsia="黑体"/>
                                <w:szCs w:val="28"/>
                              </w:rPr>
                              <w:t>T</w:t>
                            </w:r>
                            <w:r>
                              <w:rPr>
                                <w:rFonts w:eastAsia="黑体"/>
                                <w:szCs w:val="28"/>
                              </w:rPr>
                              <w:t xml:space="preserve">est </w:t>
                            </w:r>
                            <w:r>
                              <w:rPr>
                                <w:rFonts w:hint="eastAsia" w:eastAsia="黑体"/>
                                <w:szCs w:val="28"/>
                              </w:rPr>
                              <w:t>M</w:t>
                            </w:r>
                            <w:r>
                              <w:rPr>
                                <w:rFonts w:eastAsia="黑体"/>
                                <w:szCs w:val="28"/>
                              </w:rPr>
                              <w:t>achine</w:t>
                            </w: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97.7pt;height:335.6pt;width:467.7pt;mso-position-horizontal-relative:margin;mso-position-vertical-relative:margin;z-index:251655168;mso-width-relative:page;mso-height-relative:page;" fillcolor="#FFFFFF" filled="t" stroked="f" coordsize="21600,21600" o:gfxdata="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v11r+2AAAAAkBAAAPAAAAAAAAAAEAIAAAACIAAABkcnMvZG93bnJl&#10;di54bWxQSwECFAAUAAAACACHTuJAbMOAQjYCAABYBAAADgAAAAAAAAABACAAAAAnAQAAZHJzL2Uy&#10;b0RvYy54bWxQSwUGAAAAAAYABgBZAQAAzwUAAAAA&#10;">
                <v:fill on="t" focussize="0,0"/>
                <v:stroke on="f" weight="1pt" miterlimit="8" joinstyle="miter"/>
                <v:imagedata o:title=""/>
                <o:lock v:ext="edit" aspectratio="f"/>
                <v:textbox inset="0mm,0mm,0mm,0mm">
                  <w:txbxContent>
                    <w:p>
                      <w:pPr>
                        <w:pStyle w:val="27"/>
                        <w:spacing w:after="567"/>
                      </w:pPr>
                      <w:r>
                        <w:rPr>
                          <w:rFonts w:hint="eastAsia"/>
                        </w:rPr>
                        <w:t>旋转疲劳试验机校准规范</w:t>
                      </w:r>
                    </w:p>
                    <w:p>
                      <w:pPr>
                        <w:pStyle w:val="20"/>
                        <w:spacing w:before="0" w:line="280" w:lineRule="exact"/>
                        <w:rPr>
                          <w:rFonts w:eastAsia="黑体"/>
                          <w:szCs w:val="28"/>
                        </w:rPr>
                      </w:pPr>
                      <w:r>
                        <w:rPr>
                          <w:rFonts w:eastAsia="黑体"/>
                          <w:kern w:val="36"/>
                          <w:szCs w:val="28"/>
                        </w:rPr>
                        <w:t>Calibration Specification for</w:t>
                      </w:r>
                      <w:r>
                        <w:rPr>
                          <w:rFonts w:eastAsia="黑体"/>
                          <w:szCs w:val="28"/>
                        </w:rPr>
                        <w:t xml:space="preserve"> Rotary </w:t>
                      </w:r>
                      <w:r>
                        <w:rPr>
                          <w:rFonts w:hint="eastAsia" w:eastAsia="黑体"/>
                          <w:szCs w:val="28"/>
                        </w:rPr>
                        <w:t>F</w:t>
                      </w:r>
                      <w:r>
                        <w:rPr>
                          <w:rFonts w:eastAsia="黑体"/>
                          <w:szCs w:val="28"/>
                        </w:rPr>
                        <w:t xml:space="preserve">atigue </w:t>
                      </w:r>
                      <w:r>
                        <w:rPr>
                          <w:rFonts w:hint="eastAsia" w:eastAsia="黑体"/>
                          <w:szCs w:val="28"/>
                        </w:rPr>
                        <w:t>T</w:t>
                      </w:r>
                      <w:r>
                        <w:rPr>
                          <w:rFonts w:eastAsia="黑体"/>
                          <w:szCs w:val="28"/>
                        </w:rPr>
                        <w:t xml:space="preserve">est </w:t>
                      </w:r>
                      <w:r>
                        <w:rPr>
                          <w:rFonts w:hint="eastAsia" w:eastAsia="黑体"/>
                          <w:szCs w:val="28"/>
                        </w:rPr>
                        <w:t>M</w:t>
                      </w:r>
                      <w:r>
                        <w:rPr>
                          <w:rFonts w:eastAsia="黑体"/>
                          <w:szCs w:val="28"/>
                        </w:rPr>
                        <w:t>achine</w:t>
                      </w:r>
                    </w:p>
                  </w:txbxContent>
                </v:textbox>
                <w10:anchorlock/>
              </v:shape>
            </w:pict>
          </mc:Fallback>
        </mc:AlternateContent>
      </w:r>
      <w:r>
        <mc:AlternateContent>
          <mc:Choice Requires="wps">
            <w:drawing>
              <wp:anchor distT="0" distB="0" distL="114300" distR="114300" simplePos="0" relativeHeight="251651072" behindDoc="0" locked="1" layoutInCell="1" allowOverlap="1">
                <wp:simplePos x="0" y="0"/>
                <wp:positionH relativeFrom="margin">
                  <wp:posOffset>-635</wp:posOffset>
                </wp:positionH>
                <wp:positionV relativeFrom="margin">
                  <wp:posOffset>1049020</wp:posOffset>
                </wp:positionV>
                <wp:extent cx="5943600" cy="391160"/>
                <wp:effectExtent l="0" t="0" r="0" b="0"/>
                <wp:wrapNone/>
                <wp:docPr id="12" name="fmFrame2"/>
                <wp:cNvGraphicFramePr/>
                <a:graphic xmlns:a="http://schemas.openxmlformats.org/drawingml/2006/main">
                  <a:graphicData uri="http://schemas.microsoft.com/office/word/2010/wordprocessingShape">
                    <wps:wsp>
                      <wps:cNvSpPr txBox="1">
                        <a:spLocks noChangeArrowheads="1"/>
                      </wps:cNvSpPr>
                      <wps:spPr bwMode="auto">
                        <a:xfrm>
                          <a:off x="0" y="0"/>
                          <a:ext cx="5943600" cy="391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19"/>
                              <w:spacing w:line="560" w:lineRule="exact"/>
                              <w:rPr>
                                <w:rFonts w:ascii="方正小标宋简体" w:eastAsia="方正小标宋简体"/>
                                <w:szCs w:val="52"/>
                              </w:rPr>
                            </w:pPr>
                            <w:r>
                              <w:rPr>
                                <w:rFonts w:hint="eastAsia" w:ascii="方正小标宋简体" w:eastAsia="方正小标宋简体"/>
                                <w:sz w:val="40"/>
                                <w:szCs w:val="52"/>
                              </w:rPr>
                              <w:t>中华人民共和国工业和信息化部机械计量</w:t>
                            </w:r>
                            <w:r>
                              <w:rPr>
                                <w:rFonts w:hint="eastAsia" w:ascii="方正小标宋简体" w:eastAsia="方正小标宋简体"/>
                                <w:sz w:val="40"/>
                                <w:szCs w:val="52"/>
                                <w:lang w:eastAsia="zh-CN"/>
                              </w:rPr>
                              <w:t>技术</w:t>
                            </w:r>
                            <w:r>
                              <w:rPr>
                                <w:rFonts w:hint="eastAsia" w:ascii="方正小标宋简体" w:eastAsia="方正小标宋简体"/>
                                <w:sz w:val="40"/>
                                <w:szCs w:val="52"/>
                              </w:rPr>
                              <w:t>规范</w:t>
                            </w:r>
                          </w:p>
                        </w:txbxContent>
                      </wps:txbx>
                      <wps:bodyPr rot="0" vert="horz" wrap="square" lIns="0" tIns="0" rIns="0" bIns="0" anchor="t" anchorCtr="0" upright="1">
                        <a:spAutoFit/>
                      </wps:bodyPr>
                    </wps:wsp>
                  </a:graphicData>
                </a:graphic>
              </wp:anchor>
            </w:drawing>
          </mc:Choice>
          <mc:Fallback>
            <w:pict>
              <v:shape id="fmFrame2" o:spid="_x0000_s1026" o:spt="202" type="#_x0000_t202" style="position:absolute;left:0pt;margin-left:-0.05pt;margin-top:82.6pt;height:30.8pt;width:468pt;mso-position-horizontal-relative:margin;mso-position-vertical-relative:margin;z-index:251651072;mso-width-relative:page;mso-height-relative:page;" fillcolor="#FFFFFF [3201]" filled="t" stroked="f" coordsize="21600,21600" o:gfxdata="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VuCC2gAAAAkBAAAPAAAAAAAAAAEAIAAAACIAAABkcnMvZG93bnJldi54bWxQSwECFAAUAAAA&#10;CACHTuJApa3s+iUCAAA5BAAADgAAAAAAAAABACAAAAApAQAAZHJzL2Uyb0RvYy54bWxQSwUGAAAA&#10;AAYABgBZAQAAwAUAAAAA&#10;">
                <v:fill on="t" focussize="0,0"/>
                <v:stroke on="f" weight="1pt" miterlimit="8" joinstyle="miter"/>
                <v:imagedata o:title=""/>
                <o:lock v:ext="edit" aspectratio="f"/>
                <v:textbox inset="0mm,0mm,0mm,0mm" style="mso-fit-shape-to-text:t;">
                  <w:txbxContent>
                    <w:p>
                      <w:pPr>
                        <w:pStyle w:val="19"/>
                        <w:spacing w:line="560" w:lineRule="exact"/>
                        <w:rPr>
                          <w:rFonts w:ascii="方正小标宋简体" w:eastAsia="方正小标宋简体"/>
                          <w:szCs w:val="52"/>
                        </w:rPr>
                      </w:pPr>
                      <w:r>
                        <w:rPr>
                          <w:rFonts w:hint="eastAsia" w:ascii="方正小标宋简体" w:eastAsia="方正小标宋简体"/>
                          <w:sz w:val="40"/>
                          <w:szCs w:val="52"/>
                        </w:rPr>
                        <w:t>中华人民共和国工业和信息化部机械计量</w:t>
                      </w:r>
                      <w:r>
                        <w:rPr>
                          <w:rFonts w:hint="eastAsia" w:ascii="方正小标宋简体" w:eastAsia="方正小标宋简体"/>
                          <w:sz w:val="40"/>
                          <w:szCs w:val="52"/>
                          <w:lang w:eastAsia="zh-CN"/>
                        </w:rPr>
                        <w:t>技术</w:t>
                      </w:r>
                      <w:r>
                        <w:rPr>
                          <w:rFonts w:hint="eastAsia" w:ascii="方正小标宋简体" w:eastAsia="方正小标宋简体"/>
                          <w:sz w:val="40"/>
                          <w:szCs w:val="52"/>
                        </w:rPr>
                        <w:t>规范</w:t>
                      </w:r>
                    </w:p>
                  </w:txbxContent>
                </v:textbox>
                <w10:anchorlock/>
              </v:shape>
            </w:pict>
          </mc:Fallback>
        </mc:AlternateContent>
      </w:r>
      <w:r>
        <mc:AlternateContent>
          <mc:Choice Requires="wps">
            <w:drawing>
              <wp:anchor distT="0" distB="0" distL="114300" distR="114300" simplePos="0" relativeHeight="251646976" behindDoc="0" locked="1" layoutInCell="1" allowOverlap="1">
                <wp:simplePos x="0" y="0"/>
                <wp:positionH relativeFrom="margin">
                  <wp:posOffset>0</wp:posOffset>
                </wp:positionH>
                <wp:positionV relativeFrom="margin">
                  <wp:posOffset>1425575</wp:posOffset>
                </wp:positionV>
                <wp:extent cx="5219700" cy="899795"/>
                <wp:effectExtent l="0" t="0" r="0" b="0"/>
                <wp:wrapNone/>
                <wp:docPr id="13" name="fmFrame3"/>
                <wp:cNvGraphicFramePr/>
                <a:graphic xmlns:a="http://schemas.openxmlformats.org/drawingml/2006/main">
                  <a:graphicData uri="http://schemas.microsoft.com/office/word/2010/wordprocessingShape">
                    <wps:wsp>
                      <wps:cNvSpPr txBox="1">
                        <a:spLocks noChangeArrowheads="1"/>
                      </wps:cNvSpPr>
                      <wps:spPr bwMode="auto">
                        <a:xfrm>
                          <a:off x="0" y="0"/>
                          <a:ext cx="5219700" cy="899795"/>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18"/>
                              <w:ind w:firstLine="560"/>
                            </w:pPr>
                            <w:r>
                              <w:rPr>
                                <w:rFonts w:hint="eastAsia"/>
                                <w:color w:val="000000" w:themeColor="text1"/>
                                <w14:textFill>
                                  <w14:solidFill>
                                    <w14:schemeClr w14:val="tx1"/>
                                  </w14:solidFill>
                                </w14:textFill>
                              </w:rPr>
                              <w:t>JJF(机械)1020</w:t>
                            </w:r>
                            <w:r>
                              <w:rPr>
                                <w:rFonts w:hint="eastAsia"/>
                              </w:rPr>
                              <w:t>—2018</w:t>
                            </w:r>
                          </w:p>
                        </w:txbxContent>
                      </wps:txbx>
                      <wps:bodyPr rot="0" vert="horz" wrap="square" lIns="0" tIns="0" rIns="0" bIns="0" anchor="t" anchorCtr="0" upright="1">
                        <a:spAutoFit/>
                      </wps:bodyPr>
                    </wps:wsp>
                  </a:graphicData>
                </a:graphic>
              </wp:anchor>
            </w:drawing>
          </mc:Choice>
          <mc:Fallback>
            <w:pict>
              <v:shape id="fmFrame3" o:spid="_x0000_s1026" o:spt="202" type="#_x0000_t202" style="position:absolute;left:0pt;margin-left:0pt;margin-top:112.25pt;height:70.85pt;width:411pt;mso-position-horizontal-relative:margin;mso-position-vertical-relative:margin;z-index:251646976;mso-width-relative:page;mso-height-relative:page;" fillcolor="#FFFFFF [3201]" filled="t" stroked="f" coordsize="21600,21600" o:gfxdata="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i&#10;aNKB2AAAAAgBAAAPAAAAAAAAAAEAIAAAACIAAABkcnMvZG93bnJldi54bWxQSwECFAAUAAAACACH&#10;TuJAyfQqJiQCAAA5BAAADgAAAAAAAAABACAAAAAnAQAAZHJzL2Uyb0RvYy54bWxQSwUGAAAAAAYA&#10;BgBZAQAAvQUAAAAA&#10;">
                <v:fill on="t" focussize="0,0"/>
                <v:stroke on="f" weight="1pt" miterlimit="8" joinstyle="miter"/>
                <v:imagedata o:title=""/>
                <o:lock v:ext="edit" aspectratio="f"/>
                <v:textbox inset="0mm,0mm,0mm,0mm" style="mso-fit-shape-to-text:t;">
                  <w:txbxContent>
                    <w:p>
                      <w:pPr>
                        <w:pStyle w:val="18"/>
                        <w:ind w:firstLine="560"/>
                      </w:pPr>
                      <w:r>
                        <w:rPr>
                          <w:rFonts w:hint="eastAsia"/>
                          <w:color w:val="000000" w:themeColor="text1"/>
                          <w14:textFill>
                            <w14:solidFill>
                              <w14:schemeClr w14:val="tx1"/>
                            </w14:solidFill>
                          </w14:textFill>
                        </w:rPr>
                        <w:t>JJF(机械)1020</w:t>
                      </w:r>
                      <w:r>
                        <w:rPr>
                          <w:rFonts w:hint="eastAsia"/>
                        </w:rPr>
                        <w:t>—2018</w:t>
                      </w:r>
                    </w:p>
                  </w:txbxContent>
                </v:textbox>
                <w10:anchorlock/>
              </v:shape>
            </w:pict>
          </mc:Fallback>
        </mc:AlternateContent>
      </w:r>
      <w:r>
        <mc:AlternateContent>
          <mc:Choice Requires="wps">
            <w:drawing>
              <wp:anchor distT="0" distB="0" distL="114300" distR="114300" simplePos="0" relativeHeight="251653120" behindDoc="0" locked="0" layoutInCell="1" allowOverlap="1">
                <wp:simplePos x="0" y="0"/>
                <wp:positionH relativeFrom="column">
                  <wp:posOffset>0</wp:posOffset>
                </wp:positionH>
                <wp:positionV relativeFrom="paragraph">
                  <wp:posOffset>2340610</wp:posOffset>
                </wp:positionV>
                <wp:extent cx="5939790" cy="0"/>
                <wp:effectExtent l="0" t="0" r="22860" b="19050"/>
                <wp:wrapNone/>
                <wp:docPr id="19" name="Line 10"/>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5875">
                          <a:solidFill>
                            <a:srgbClr val="080000"/>
                          </a:solidFill>
                          <a:round/>
                        </a:ln>
                      </wps:spPr>
                      <wps:bodyPr/>
                    </wps:wsp>
                  </a:graphicData>
                </a:graphic>
              </wp:anchor>
            </w:drawing>
          </mc:Choice>
          <mc:Fallback>
            <w:pict>
              <v:line id="Line 10" o:spid="_x0000_s1026" o:spt="20" style="position:absolute;left:0pt;margin-left:0pt;margin-top:184.3pt;height:0pt;width:467.7pt;z-index:251653120;mso-width-relative:page;mso-height-relative:page;" filled="f" stroked="t" coordsize="21600,21600" o:gfxdata="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Jww&#10;qerYAAAACAEAAA8AAAAAAAAAAQAgAAAAIgAAAGRycy9kb3ducmV2LnhtbFBLAQIUABQAAAAIAIdO&#10;4kCXKh27sQEAAFQDAAAOAAAAAAAAAAEAIAAAACcBAABkcnMvZTJvRG9jLnhtbFBLBQYAAAAABgAG&#10;AFkBAABKBQAAAAA=&#10;">
                <v:fill on="f" focussize="0,0"/>
                <v:stroke weight="1.25pt" color="#080000" joinstyle="round"/>
                <v:imagedata o:title=""/>
                <o:lock v:ext="edit" aspectratio="f"/>
              </v:line>
            </w:pict>
          </mc:Fallback>
        </mc:AlternateContent>
      </w:r>
    </w:p>
    <w:p>
      <w:pPr>
        <w:sectPr>
          <w:headerReference r:id="rId5" w:type="first"/>
          <w:footerReference r:id="rId8" w:type="first"/>
          <w:headerReference r:id="rId3" w:type="default"/>
          <w:footerReference r:id="rId6" w:type="default"/>
          <w:headerReference r:id="rId4" w:type="even"/>
          <w:footerReference r:id="rId7" w:type="even"/>
          <w:pgSz w:w="11906" w:h="16838"/>
          <w:pgMar w:top="567" w:right="851" w:bottom="1361" w:left="1418" w:header="113" w:footer="992" w:gutter="0"/>
          <w:cols w:space="425" w:num="1"/>
          <w:docGrid w:type="linesAndChars" w:linePitch="312" w:charSpace="0"/>
        </w:sectPr>
      </w:pPr>
      <w:bookmarkStart w:id="56" w:name="_GoBack"/>
      <w:bookmarkEnd w:id="56"/>
    </w:p>
    <w:p/>
    <w:p/>
    <w:p/>
    <w:p/>
    <w:p/>
    <w:p/>
    <w:p/>
    <w:p/>
    <w:p/>
    <w:p/>
    <w:p>
      <w:r>
        <mc:AlternateContent>
          <mc:Choice Requires="wps">
            <w:drawing>
              <wp:anchor distT="0" distB="0" distL="114300" distR="114300" simplePos="0" relativeHeight="251659264" behindDoc="0" locked="1" layoutInCell="1" allowOverlap="1">
                <wp:simplePos x="0" y="0"/>
                <wp:positionH relativeFrom="margin">
                  <wp:align>right</wp:align>
                </wp:positionH>
                <wp:positionV relativeFrom="margin">
                  <wp:align>top</wp:align>
                </wp:positionV>
                <wp:extent cx="148590" cy="2923540"/>
                <wp:effectExtent l="0" t="0" r="6350" b="0"/>
                <wp:wrapNone/>
                <wp:docPr id="2" name="fmFrame3"/>
                <wp:cNvGraphicFramePr/>
                <a:graphic xmlns:a="http://schemas.openxmlformats.org/drawingml/2006/main">
                  <a:graphicData uri="http://schemas.microsoft.com/office/word/2010/wordprocessingShape">
                    <wps:wsp>
                      <wps:cNvSpPr txBox="1">
                        <a:spLocks noChangeArrowheads="1"/>
                      </wps:cNvSpPr>
                      <wps:spPr bwMode="auto">
                        <a:xfrm>
                          <a:off x="0" y="0"/>
                          <a:ext cx="148590" cy="2923540"/>
                        </a:xfrm>
                        <a:prstGeom prst="rect">
                          <a:avLst/>
                        </a:prstGeom>
                        <a:ln>
                          <a:noFill/>
                        </a:ln>
                      </wps:spPr>
                      <wps:style>
                        <a:lnRef idx="2">
                          <a:schemeClr val="dk1"/>
                        </a:lnRef>
                        <a:fillRef idx="1">
                          <a:schemeClr val="lt1"/>
                        </a:fillRef>
                        <a:effectRef idx="0">
                          <a:schemeClr val="dk1"/>
                        </a:effectRef>
                        <a:fontRef idx="minor">
                          <a:schemeClr val="dk1"/>
                        </a:fontRef>
                      </wps:style>
                      <wps:txbx>
                        <w:txbxContent>
                          <w:p>
                            <w:pPr>
                              <w:pStyle w:val="18"/>
                              <w:wordWrap w:val="0"/>
                              <w:ind w:firstLine="560"/>
                            </w:pPr>
                            <w:r>
                              <w:t>JJF</w:t>
                            </w:r>
                            <w:r>
                              <w:rPr>
                                <w:color w:val="FF0000"/>
                              </w:rPr>
                              <w:t>(</w:t>
                            </w:r>
                            <w:r>
                              <w:rPr>
                                <w:rFonts w:ascii="黑体" w:hAnsi="黑体" w:eastAsia="黑体"/>
                                <w:color w:val="FF0000"/>
                              </w:rPr>
                              <w:t>机械)</w:t>
                            </w:r>
                            <w:r>
                              <w:rPr>
                                <w:rFonts w:hint="eastAsia"/>
                                <w:color w:val="FF0000"/>
                              </w:rPr>
                              <w:t>1020</w:t>
                            </w:r>
                            <w:r>
                              <w:rPr>
                                <w:color w:val="FF0000"/>
                              </w:rPr>
                              <w:t>—</w:t>
                            </w:r>
                            <w:r>
                              <w:t>201</w:t>
                            </w:r>
                            <w:r>
                              <w:rPr>
                                <w:rFonts w:hint="eastAsia"/>
                              </w:rPr>
                              <w:t>8</w:t>
                            </w:r>
                          </w:p>
                        </w:txbxContent>
                      </wps:txbx>
                      <wps:bodyPr rot="0" vert="vert270" wrap="square" lIns="0" tIns="0" rIns="0" bIns="0" anchor="t" anchorCtr="0" upright="1">
                        <a:spAutoFit/>
                      </wps:bodyPr>
                    </wps:wsp>
                  </a:graphicData>
                </a:graphic>
              </wp:anchor>
            </w:drawing>
          </mc:Choice>
          <mc:Fallback>
            <w:pict>
              <v:shape id="fmFrame3" o:spid="_x0000_s1026" o:spt="202" type="#_x0000_t202" style="position:absolute;left:0pt;height:230.2pt;width:11.7pt;mso-position-horizontal:right;mso-position-horizontal-relative:margin;mso-position-vertical:top;mso-position-vertical-relative:margin;z-index:251659264;mso-width-relative:page;mso-height-relative:page;" fillcolor="#FFFFFF [3201]" filled="t" stroked="f" coordsize="21600,21600" o:gfxdata="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g&#10;s0x21gAAAAQBAAAPAAAAAAAAAAEAIAAAACIAAABkcnMvZG93bnJldi54bWxQSwECFAAUAAAACACH&#10;TuJANjthfCYCAAA7BAAADgAAAAAAAAABACAAAAAlAQAAZHJzL2Uyb0RvYy54bWxQSwUGAAAAAAYA&#10;BgBZAQAAvQUAAAAA&#10;">
                <v:fill on="t" focussize="0,0"/>
                <v:stroke on="f" weight="1pt" miterlimit="8" joinstyle="miter"/>
                <v:imagedata o:title=""/>
                <o:lock v:ext="edit" aspectratio="f"/>
                <v:textbox inset="0mm,0mm,0mm,0mm" style="layout-flow:vertical;mso-fit-shape-to-text:t;mso-layout-flow-alt:bottom-to-top;">
                  <w:txbxContent>
                    <w:p>
                      <w:pPr>
                        <w:pStyle w:val="18"/>
                        <w:wordWrap w:val="0"/>
                        <w:ind w:firstLine="560"/>
                      </w:pPr>
                      <w:r>
                        <w:t>JJF</w:t>
                      </w:r>
                      <w:r>
                        <w:rPr>
                          <w:color w:val="FF0000"/>
                        </w:rPr>
                        <w:t>(</w:t>
                      </w:r>
                      <w:r>
                        <w:rPr>
                          <w:rFonts w:ascii="黑体" w:hAnsi="黑体" w:eastAsia="黑体"/>
                          <w:color w:val="FF0000"/>
                        </w:rPr>
                        <w:t>机械)</w:t>
                      </w:r>
                      <w:r>
                        <w:rPr>
                          <w:rFonts w:hint="eastAsia"/>
                          <w:color w:val="FF0000"/>
                        </w:rPr>
                        <w:t>1020</w:t>
                      </w:r>
                      <w:r>
                        <w:rPr>
                          <w:color w:val="FF0000"/>
                        </w:rPr>
                        <w:t>—</w:t>
                      </w:r>
                      <w:r>
                        <w:t>201</w:t>
                      </w:r>
                      <w:r>
                        <w:rPr>
                          <w:rFonts w:hint="eastAsia"/>
                        </w:rPr>
                        <w:t>8</w:t>
                      </w:r>
                    </w:p>
                  </w:txbxContent>
                </v:textbox>
                <w10:anchorlock/>
              </v:shape>
            </w:pict>
          </mc:Fallback>
        </mc:AlternateContent>
      </w:r>
    </w:p>
    <w:p>
      <w:pPr>
        <w:sectPr>
          <w:headerReference r:id="rId9" w:type="even"/>
          <w:pgSz w:w="11906" w:h="16838"/>
          <w:pgMar w:top="1418" w:right="312" w:bottom="1361" w:left="1418" w:header="567" w:footer="992" w:gutter="0"/>
          <w:cols w:space="425" w:num="1"/>
          <w:docGrid w:type="linesAndChars" w:linePitch="312" w:charSpace="0"/>
        </w:sectPr>
      </w:pPr>
    </w:p>
    <w:p>
      <w:pPr>
        <w:ind w:firstLine="600"/>
      </w:pPr>
      <w:bookmarkStart w:id="0" w:name="_Toc193555884"/>
      <w:bookmarkStart w:id="1" w:name="_Toc193601674"/>
      <w:bookmarkStart w:id="2" w:name="_Toc193601895"/>
      <w:bookmarkStart w:id="3" w:name="_Toc193603074"/>
      <w:r>
        <w:rPr>
          <w:sz w:val="30"/>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6350</wp:posOffset>
                </wp:positionV>
                <wp:extent cx="4250690" cy="2124075"/>
                <wp:effectExtent l="0" t="0" r="17145" b="10160"/>
                <wp:wrapNone/>
                <wp:docPr id="11" name="Text Box 27"/>
                <wp:cNvGraphicFramePr/>
                <a:graphic xmlns:a="http://schemas.openxmlformats.org/drawingml/2006/main">
                  <a:graphicData uri="http://schemas.microsoft.com/office/word/2010/wordprocessingShape">
                    <wps:wsp>
                      <wps:cNvSpPr txBox="1">
                        <a:spLocks noChangeArrowheads="1"/>
                      </wps:cNvSpPr>
                      <wps:spPr bwMode="auto">
                        <a:xfrm>
                          <a:off x="0" y="0"/>
                          <a:ext cx="4250452" cy="2124000"/>
                        </a:xfrm>
                        <a:prstGeom prst="rect">
                          <a:avLst/>
                        </a:prstGeom>
                        <a:solidFill>
                          <a:srgbClr val="FFFFFF"/>
                        </a:solidFill>
                        <a:ln w="3175" cap="rnd" algn="ctr">
                          <a:solidFill>
                            <a:srgbClr val="FFFFFF"/>
                          </a:solidFill>
                          <a:prstDash val="sysDot"/>
                          <a:miter lim="800000"/>
                        </a:ln>
                        <a:effectLst/>
                      </wps:spPr>
                      <wps:txbx>
                        <w:txbxContent>
                          <w:p>
                            <w:pPr>
                              <w:pStyle w:val="38"/>
                              <w:spacing w:line="240" w:lineRule="atLeast"/>
                              <w:ind w:firstLine="0" w:firstLineChars="0"/>
                            </w:pPr>
                            <w:r>
                              <w:t>旋转</w:t>
                            </w:r>
                            <w:r>
                              <w:rPr>
                                <w:rFonts w:hint="eastAsia"/>
                              </w:rPr>
                              <w:t>疲劳试验机校准规范</w:t>
                            </w:r>
                          </w:p>
                          <w:p>
                            <w:pPr>
                              <w:pStyle w:val="20"/>
                              <w:adjustRightInd w:val="0"/>
                              <w:snapToGrid w:val="0"/>
                              <w:spacing w:before="312" w:beforeLines="100" w:after="312" w:afterLines="100" w:line="240" w:lineRule="auto"/>
                              <w:rPr>
                                <w:kern w:val="36"/>
                                <w:szCs w:val="28"/>
                              </w:rPr>
                            </w:pPr>
                            <w:r>
                              <w:rPr>
                                <w:kern w:val="36"/>
                                <w:szCs w:val="28"/>
                              </w:rPr>
                              <w:t xml:space="preserve">Calibration Specification for Rotary Fatigue </w:t>
                            </w:r>
                          </w:p>
                          <w:p>
                            <w:pPr>
                              <w:pStyle w:val="20"/>
                              <w:adjustRightInd w:val="0"/>
                              <w:snapToGrid w:val="0"/>
                              <w:spacing w:before="312" w:beforeLines="100" w:after="312" w:afterLines="100" w:line="240" w:lineRule="auto"/>
                              <w:rPr>
                                <w:rFonts w:ascii="黑体" w:eastAsia="黑体"/>
                                <w:szCs w:val="28"/>
                              </w:rPr>
                            </w:pPr>
                            <w:r>
                              <w:rPr>
                                <w:kern w:val="36"/>
                                <w:szCs w:val="28"/>
                              </w:rPr>
                              <w:t xml:space="preserve">Test Machine </w:t>
                            </w:r>
                          </w:p>
                        </w:txbxContent>
                      </wps:txbx>
                      <wps:bodyPr rot="0" vert="horz" wrap="square" lIns="91440" tIns="82800" rIns="91440" bIns="82800" anchor="ctr" anchorCtr="0" upright="1">
                        <a:noAutofit/>
                      </wps:bodyPr>
                    </wps:wsp>
                  </a:graphicData>
                </a:graphic>
              </wp:anchor>
            </w:drawing>
          </mc:Choice>
          <mc:Fallback>
            <w:pict>
              <v:shape id="Text Box 27" o:spid="_x0000_s1026" o:spt="202" type="#_x0000_t202" style="position:absolute;left:0pt;margin-top:0.5pt;height:167.25pt;width:334.7pt;mso-position-horizontal:left;mso-position-horizontal-relative:margin;z-index:251665408;v-text-anchor:middle;mso-width-relative:page;mso-height-relative:page;" fillcolor="#FFFFFF" filled="t" stroked="t" coordsize="21600,21600" o:gfxdata="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n81VLZAAAABgEAAA8AAAAAAAAAAQAgAAAAIgAAAGRycy9kb3ducmV2&#10;LnhtbFBLAQIUABQAAAAIAIdO4kBrqBZoNAIAAHoEAAAOAAAAAAAAAAEAIAAAACgBAABkcnMvZTJv&#10;RG9jLnhtbFBLBQYAAAAABgAGAFkBAADOBQAAAAA=&#10;">
                <v:fill on="t" focussize="0,0"/>
                <v:stroke weight="0.25pt" color="#FFFFFF" miterlimit="8" joinstyle="miter" dashstyle="1 1" endcap="round"/>
                <v:imagedata o:title=""/>
                <o:lock v:ext="edit" aspectratio="f"/>
                <v:textbox inset="2.54mm,2.3mm,2.54mm,2.3mm">
                  <w:txbxContent>
                    <w:p>
                      <w:pPr>
                        <w:pStyle w:val="38"/>
                        <w:spacing w:line="240" w:lineRule="atLeast"/>
                        <w:ind w:firstLine="0" w:firstLineChars="0"/>
                      </w:pPr>
                      <w:r>
                        <w:t>旋转</w:t>
                      </w:r>
                      <w:r>
                        <w:rPr>
                          <w:rFonts w:hint="eastAsia"/>
                        </w:rPr>
                        <w:t>疲劳试验机校准规范</w:t>
                      </w:r>
                    </w:p>
                    <w:p>
                      <w:pPr>
                        <w:pStyle w:val="20"/>
                        <w:adjustRightInd w:val="0"/>
                        <w:snapToGrid w:val="0"/>
                        <w:spacing w:before="312" w:beforeLines="100" w:after="312" w:afterLines="100" w:line="240" w:lineRule="auto"/>
                        <w:rPr>
                          <w:kern w:val="36"/>
                          <w:szCs w:val="28"/>
                        </w:rPr>
                      </w:pPr>
                      <w:r>
                        <w:rPr>
                          <w:kern w:val="36"/>
                          <w:szCs w:val="28"/>
                        </w:rPr>
                        <w:t xml:space="preserve">Calibration Specification for Rotary Fatigue </w:t>
                      </w:r>
                    </w:p>
                    <w:p>
                      <w:pPr>
                        <w:pStyle w:val="20"/>
                        <w:adjustRightInd w:val="0"/>
                        <w:snapToGrid w:val="0"/>
                        <w:spacing w:before="312" w:beforeLines="100" w:after="312" w:afterLines="100" w:line="240" w:lineRule="auto"/>
                        <w:rPr>
                          <w:rFonts w:ascii="黑体" w:eastAsia="黑体"/>
                          <w:szCs w:val="28"/>
                        </w:rPr>
                      </w:pPr>
                      <w:r>
                        <w:rPr>
                          <w:kern w:val="36"/>
                          <w:szCs w:val="28"/>
                        </w:rPr>
                        <w:t xml:space="preserve">Test Machine </w:t>
                      </w:r>
                    </w:p>
                  </w:txbxContent>
                </v:textbox>
              </v:shape>
            </w:pict>
          </mc:Fallback>
        </mc:AlternateContent>
      </w:r>
      <w:r>
        <w:rPr>
          <w:sz w:val="28"/>
          <w:szCs w:val="28"/>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2160270</wp:posOffset>
                </wp:positionV>
                <wp:extent cx="5939790" cy="0"/>
                <wp:effectExtent l="0" t="0" r="22860" b="19050"/>
                <wp:wrapNone/>
                <wp:docPr id="8" name="Line 44"/>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19050">
                          <a:solidFill>
                            <a:srgbClr val="000000"/>
                          </a:solidFill>
                          <a:round/>
                        </a:ln>
                        <a:effectLst/>
                      </wps:spPr>
                      <wps:bodyPr/>
                    </wps:wsp>
                  </a:graphicData>
                </a:graphic>
              </wp:anchor>
            </w:drawing>
          </mc:Choice>
          <mc:Fallback>
            <w:pict>
              <v:line id="Line 44" o:spid="_x0000_s1026" o:spt="20" style="position:absolute;left:0pt;margin-left:0pt;margin-top:170.1pt;height:0pt;width:467.7pt;z-index:251662336;mso-width-relative:page;mso-height-relative:page;" filled="f" stroked="t" coordsize="21600,21600" o:gfxdata="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wHXpk&#10;1QAAAAgBAAAPAAAAAAAAAAEAIAAAACIAAABkcnMvZG93bnJldi54bWxQSwECFAAUAAAACACHTuJA&#10;lXEdH7IBAABhAwAADgAAAAAAAAABACAAAAAkAQAAZHJzL2Uyb0RvYy54bWxQSwUGAAAAAAYABgBZ&#10;AQAASAUAAAAA&#10;">
                <v:fill on="f" focussize="0,0"/>
                <v:stroke weight="1.5pt" color="#000000" joinstyle="round"/>
                <v:imagedata o:title=""/>
                <o:lock v:ext="edit" aspectratio="f"/>
              </v:line>
            </w:pict>
          </mc:Fallback>
        </mc:AlternateContent>
      </w:r>
      <w:bookmarkEnd w:id="0"/>
      <w:bookmarkEnd w:id="1"/>
      <w:bookmarkEnd w:id="2"/>
      <w:bookmarkEnd w:id="3"/>
    </w:p>
    <w:p/>
    <w:p>
      <w:r>
        <mc:AlternateContent>
          <mc:Choice Requires="wps">
            <w:drawing>
              <wp:anchor distT="0" distB="0" distL="114300" distR="114300" simplePos="0" relativeHeight="251664384" behindDoc="0" locked="0" layoutInCell="1" allowOverlap="1">
                <wp:simplePos x="0" y="0"/>
                <wp:positionH relativeFrom="column">
                  <wp:posOffset>4380865</wp:posOffset>
                </wp:positionH>
                <wp:positionV relativeFrom="paragraph">
                  <wp:posOffset>193040</wp:posOffset>
                </wp:positionV>
                <wp:extent cx="1656080" cy="719455"/>
                <wp:effectExtent l="0" t="0" r="20320" b="23495"/>
                <wp:wrapNone/>
                <wp:docPr id="10" name="Text Box 43"/>
                <wp:cNvGraphicFramePr/>
                <a:graphic xmlns:a="http://schemas.openxmlformats.org/drawingml/2006/main">
                  <a:graphicData uri="http://schemas.microsoft.com/office/word/2010/wordprocessingShape">
                    <wps:wsp>
                      <wps:cNvSpPr txBox="1">
                        <a:spLocks noChangeArrowheads="1"/>
                      </wps:cNvSpPr>
                      <wps:spPr bwMode="auto">
                        <a:xfrm>
                          <a:off x="0" y="0"/>
                          <a:ext cx="1656272" cy="719455"/>
                        </a:xfrm>
                        <a:prstGeom prst="rect">
                          <a:avLst/>
                        </a:prstGeom>
                        <a:solidFill>
                          <a:srgbClr val="FFFFFF"/>
                        </a:solidFill>
                        <a:ln w="12700" cap="rnd">
                          <a:solidFill>
                            <a:srgbClr val="FFFFFF"/>
                          </a:solidFill>
                          <a:prstDash val="sysDot"/>
                          <a:miter lim="800000"/>
                        </a:ln>
                      </wps:spPr>
                      <wps:txbx>
                        <w:txbxContent>
                          <w:p>
                            <w:pPr>
                              <w:pStyle w:val="36"/>
                              <w:ind w:left="-120" w:leftChars="-50" w:right="-120" w:rightChars="-50"/>
                              <w:jc w:val="center"/>
                            </w:pPr>
                            <w:r>
                              <w:t>J</w:t>
                            </w:r>
                            <w:r>
                              <w:rPr>
                                <w:rFonts w:hint="eastAsia"/>
                              </w:rPr>
                              <w:t>J</w:t>
                            </w:r>
                            <w:r>
                              <w:rPr>
                                <w:rFonts w:hint="eastAsia"/>
                                <w:color w:val="000000" w:themeColor="text1"/>
                                <w14:textFill>
                                  <w14:solidFill>
                                    <w14:schemeClr w14:val="tx1"/>
                                  </w14:solidFill>
                                </w14:textFill>
                              </w:rPr>
                              <w:t>F(机械)1020</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2</w:t>
                            </w:r>
                            <w:r>
                              <w:rPr>
                                <w:rFonts w:hint="eastAsia"/>
                              </w:rPr>
                              <w:t>018</w:t>
                            </w:r>
                          </w:p>
                        </w:txbxContent>
                      </wps:txbx>
                      <wps:bodyPr rot="0" vert="horz" wrap="square" lIns="54000" tIns="45720" rIns="54000" bIns="45720" anchor="ctr" anchorCtr="0" upright="1">
                        <a:noAutofit/>
                      </wps:bodyPr>
                    </wps:wsp>
                  </a:graphicData>
                </a:graphic>
              </wp:anchor>
            </w:drawing>
          </mc:Choice>
          <mc:Fallback>
            <w:pict>
              <v:shape id="Text Box 43" o:spid="_x0000_s1026" o:spt="202" type="#_x0000_t202" style="position:absolute;left:0pt;margin-left:344.95pt;margin-top:15.2pt;height:56.65pt;width:130.4pt;z-index:251664384;v-text-anchor:middle;mso-width-relative:page;mso-height-relative:page;" fillcolor="#FFFFFF" filled="t" stroked="t" coordsize="21600,21600" o:gfxdata="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NKGGk2AAAAAoBAAAPAAAAAAAAAAEAIAAAACIAAABkcnMvZG93bnJldi54bWxQSwECFAAUAAAA&#10;CACHTuJAs1UcnScCAABhBAAADgAAAAAAAAABACAAAAAnAQAAZHJzL2Uyb0RvYy54bWxQSwUGAAAA&#10;AAYABgBZAQAAwAUAAAAA&#10;">
                <v:fill on="t" focussize="0,0"/>
                <v:stroke weight="1pt" color="#FFFFFF" miterlimit="8" joinstyle="miter" dashstyle="1 1" endcap="round"/>
                <v:imagedata o:title=""/>
                <o:lock v:ext="edit" aspectratio="f"/>
                <v:textbox inset="1.5mm,1.27mm,1.5mm,1.27mm">
                  <w:txbxContent>
                    <w:p>
                      <w:pPr>
                        <w:pStyle w:val="36"/>
                        <w:ind w:left="-120" w:leftChars="-50" w:right="-120" w:rightChars="-50"/>
                        <w:jc w:val="center"/>
                      </w:pPr>
                      <w:r>
                        <w:t>J</w:t>
                      </w:r>
                      <w:r>
                        <w:rPr>
                          <w:rFonts w:hint="eastAsia"/>
                        </w:rPr>
                        <w:t>J</w:t>
                      </w:r>
                      <w:r>
                        <w:rPr>
                          <w:rFonts w:hint="eastAsia"/>
                          <w:color w:val="000000" w:themeColor="text1"/>
                          <w14:textFill>
                            <w14:solidFill>
                              <w14:schemeClr w14:val="tx1"/>
                            </w14:solidFill>
                          </w14:textFill>
                        </w:rPr>
                        <w:t>F(机械)1020</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2</w:t>
                      </w:r>
                      <w:r>
                        <w:rPr>
                          <w:rFonts w:hint="eastAsia"/>
                        </w:rPr>
                        <w:t>018</w:t>
                      </w:r>
                    </w:p>
                  </w:txbxContent>
                </v:textbox>
              </v:shape>
            </w:pict>
          </mc:Fallback>
        </mc:AlternateContent>
      </w:r>
      <w:r>
        <w:rPr>
          <w:b/>
          <w:bCs/>
          <w:szCs w:val="21"/>
        </w:rPr>
        <w:drawing>
          <wp:anchor distT="0" distB="0" distL="114300" distR="114300" simplePos="0" relativeHeight="251663360" behindDoc="0" locked="0" layoutInCell="1" allowOverlap="1">
            <wp:simplePos x="0" y="0"/>
            <wp:positionH relativeFrom="column">
              <wp:posOffset>4291330</wp:posOffset>
            </wp:positionH>
            <wp:positionV relativeFrom="paragraph">
              <wp:posOffset>137160</wp:posOffset>
            </wp:positionV>
            <wp:extent cx="1836420" cy="86360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36420" cy="863600"/>
                    </a:xfrm>
                    <a:prstGeom prst="rect">
                      <a:avLst/>
                    </a:prstGeom>
                    <a:noFill/>
                    <a:ln>
                      <a:noFill/>
                    </a:ln>
                  </pic:spPr>
                </pic:pic>
              </a:graphicData>
            </a:graphic>
          </wp:anchor>
        </w:drawing>
      </w:r>
    </w:p>
    <w:p/>
    <w:p/>
    <w:p/>
    <w:p/>
    <w:p/>
    <w:p/>
    <w:p>
      <w:r>
        <mc:AlternateContent>
          <mc:Choice Requires="wps">
            <w:drawing>
              <wp:anchor distT="0" distB="0" distL="114300" distR="114300" simplePos="0" relativeHeight="251666432" behindDoc="0" locked="0" layoutInCell="1" allowOverlap="1">
                <wp:simplePos x="0" y="0"/>
                <wp:positionH relativeFrom="column">
                  <wp:posOffset>499745</wp:posOffset>
                </wp:positionH>
                <wp:positionV relativeFrom="paragraph">
                  <wp:posOffset>31115</wp:posOffset>
                </wp:positionV>
                <wp:extent cx="5095875" cy="6153150"/>
                <wp:effectExtent l="0" t="0" r="9525" b="0"/>
                <wp:wrapNone/>
                <wp:docPr id="5" name="文本框 5"/>
                <wp:cNvGraphicFramePr/>
                <a:graphic xmlns:a="http://schemas.openxmlformats.org/drawingml/2006/main">
                  <a:graphicData uri="http://schemas.microsoft.com/office/word/2010/wordprocessingShape">
                    <wps:wsp>
                      <wps:cNvSpPr txBox="1"/>
                      <wps:spPr>
                        <a:xfrm>
                          <a:off x="0" y="0"/>
                          <a:ext cx="5095875" cy="6153150"/>
                        </a:xfrm>
                        <a:prstGeom prst="rect">
                          <a:avLst/>
                        </a:prstGeom>
                        <a:solidFill>
                          <a:schemeClr val="lt1"/>
                        </a:solidFill>
                        <a:ln w="6350">
                          <a:noFill/>
                        </a:ln>
                      </wps:spPr>
                      <wps:txbx>
                        <w:txbxContent>
                          <w:p>
                            <w:pPr>
                              <w:pStyle w:val="30"/>
                              <w:tabs>
                                <w:tab w:val="left" w:pos="1701"/>
                              </w:tabs>
                            </w:pPr>
                            <w:r>
                              <w:rPr>
                                <w:rFonts w:hint="eastAsia"/>
                              </w:rPr>
                              <w:t>归</w:t>
                            </w:r>
                            <w:r>
                              <w:rPr>
                                <w:rFonts w:hint="eastAsia"/>
                                <w:w w:val="67"/>
                              </w:rPr>
                              <w:t xml:space="preserve">  </w:t>
                            </w:r>
                            <w:r>
                              <w:rPr>
                                <w:rFonts w:hint="eastAsia"/>
                              </w:rPr>
                              <w:t>口</w:t>
                            </w:r>
                            <w:r>
                              <w:rPr>
                                <w:rFonts w:hint="eastAsia"/>
                                <w:w w:val="67"/>
                              </w:rPr>
                              <w:t xml:space="preserve">  </w:t>
                            </w:r>
                            <w:r>
                              <w:rPr>
                                <w:rFonts w:hint="eastAsia"/>
                              </w:rPr>
                              <w:t>单</w:t>
                            </w:r>
                            <w:r>
                              <w:rPr>
                                <w:rFonts w:hint="eastAsia"/>
                                <w:w w:val="67"/>
                              </w:rPr>
                              <w:t xml:space="preserve">  </w:t>
                            </w:r>
                            <w:r>
                              <w:rPr>
                                <w:rFonts w:hint="eastAsia"/>
                              </w:rPr>
                              <w:t>位：中国</w:t>
                            </w:r>
                            <w:r>
                              <w:t>机械工业联合会</w:t>
                            </w:r>
                          </w:p>
                          <w:p>
                            <w:pPr>
                              <w:pStyle w:val="30"/>
                            </w:pPr>
                            <w:r>
                              <w:rPr>
                                <w:rFonts w:hint="eastAsia"/>
                              </w:rPr>
                              <w:t>负责起草单位：沈阳仪表科学研究院有限公司</w:t>
                            </w:r>
                          </w:p>
                          <w:p>
                            <w:pPr>
                              <w:pStyle w:val="30"/>
                              <w:tabs>
                                <w:tab w:val="left" w:pos="2127"/>
                              </w:tabs>
                            </w:pPr>
                            <w:r>
                              <w:rPr>
                                <w:rFonts w:hint="eastAsia"/>
                              </w:rPr>
                              <w:t>参加起草单位：国家仪器仪表元器件质量监督检验中心</w:t>
                            </w:r>
                          </w:p>
                          <w:p>
                            <w:pPr>
                              <w:pStyle w:val="30"/>
                              <w:ind w:firstLine="1960" w:firstLineChars="700"/>
                            </w:pPr>
                            <w:r>
                              <w:rPr>
                                <w:rFonts w:hint="eastAsia"/>
                              </w:rPr>
                              <w:t>机械工业第二十四计量测试站</w:t>
                            </w:r>
                          </w:p>
                          <w:p>
                            <w:pPr>
                              <w:pStyle w:val="30"/>
                              <w:ind w:firstLine="1982" w:firstLineChars="708"/>
                              <w:rPr>
                                <w:color w:val="000000" w:themeColor="text1"/>
                                <w14:textFill>
                                  <w14:solidFill>
                                    <w14:schemeClr w14:val="tx1"/>
                                  </w14:solidFill>
                                </w14:textFill>
                              </w:rPr>
                            </w:pPr>
                            <w:r>
                              <w:rPr>
                                <w:rFonts w:hint="eastAsia"/>
                                <w:color w:val="000000" w:themeColor="text1"/>
                                <w14:textFill>
                                  <w14:solidFill>
                                    <w14:schemeClr w14:val="tx1"/>
                                  </w14:solidFill>
                                </w14:textFill>
                              </w:rPr>
                              <w:t>江苏贝特管件有限公司</w:t>
                            </w:r>
                          </w:p>
                          <w:p>
                            <w:pPr>
                              <w:pStyle w:val="30"/>
                              <w:ind w:firstLine="1982" w:firstLineChars="708"/>
                              <w:rPr>
                                <w:color w:val="000000" w:themeColor="text1"/>
                                <w14:textFill>
                                  <w14:solidFill>
                                    <w14:schemeClr w14:val="tx1"/>
                                  </w14:solidFill>
                                </w14:textFill>
                              </w:rPr>
                            </w:pPr>
                            <w:r>
                              <w:rPr>
                                <w:rFonts w:hint="eastAsia"/>
                                <w:color w:val="000000" w:themeColor="text1"/>
                                <w14:textFill>
                                  <w14:solidFill>
                                    <w14:schemeClr w14:val="tx1"/>
                                  </w14:solidFill>
                                </w14:textFill>
                              </w:rPr>
                              <w:t>大连益多管道有限公司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39.35pt;margin-top:2.45pt;height:484.5pt;width:401.25pt;z-index:251666432;v-text-anchor:middle;mso-width-relative:page;mso-height-relative:page;" fillcolor="#FFFFFF [3201]" filled="t" stroked="f" coordsize="21600,21600" o:gfxdata="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GF5KQtYAAAAIAQAADwAAAAAAAAABACAAAAAiAAAAZHJzL2Rvd25yZXYu&#10;eG1sUEsBAhQAFAAAAAgAh07iQIbfGjY2AgAARAQAAA4AAAAAAAAAAQAgAAAAJQEAAGRycy9lMm9E&#10;b2MueG1sUEsFBgAAAAAGAAYAWQEAAM0FAAAAAA==&#10;">
                <v:fill on="t" focussize="0,0"/>
                <v:stroke on="f" weight="0.5pt"/>
                <v:imagedata o:title=""/>
                <o:lock v:ext="edit" aspectratio="f"/>
                <v:textbox>
                  <w:txbxContent>
                    <w:p>
                      <w:pPr>
                        <w:pStyle w:val="30"/>
                        <w:tabs>
                          <w:tab w:val="left" w:pos="1701"/>
                        </w:tabs>
                      </w:pPr>
                      <w:r>
                        <w:rPr>
                          <w:rFonts w:hint="eastAsia"/>
                        </w:rPr>
                        <w:t>归</w:t>
                      </w:r>
                      <w:r>
                        <w:rPr>
                          <w:rFonts w:hint="eastAsia"/>
                          <w:w w:val="67"/>
                        </w:rPr>
                        <w:t xml:space="preserve">  </w:t>
                      </w:r>
                      <w:r>
                        <w:rPr>
                          <w:rFonts w:hint="eastAsia"/>
                        </w:rPr>
                        <w:t>口</w:t>
                      </w:r>
                      <w:r>
                        <w:rPr>
                          <w:rFonts w:hint="eastAsia"/>
                          <w:w w:val="67"/>
                        </w:rPr>
                        <w:t xml:space="preserve">  </w:t>
                      </w:r>
                      <w:r>
                        <w:rPr>
                          <w:rFonts w:hint="eastAsia"/>
                        </w:rPr>
                        <w:t>单</w:t>
                      </w:r>
                      <w:r>
                        <w:rPr>
                          <w:rFonts w:hint="eastAsia"/>
                          <w:w w:val="67"/>
                        </w:rPr>
                        <w:t xml:space="preserve">  </w:t>
                      </w:r>
                      <w:r>
                        <w:rPr>
                          <w:rFonts w:hint="eastAsia"/>
                        </w:rPr>
                        <w:t>位：中国</w:t>
                      </w:r>
                      <w:r>
                        <w:t>机械工业联合会</w:t>
                      </w:r>
                    </w:p>
                    <w:p>
                      <w:pPr>
                        <w:pStyle w:val="30"/>
                      </w:pPr>
                      <w:r>
                        <w:rPr>
                          <w:rFonts w:hint="eastAsia"/>
                        </w:rPr>
                        <w:t>负责起草单位：沈阳仪表科学研究院有限公司</w:t>
                      </w:r>
                    </w:p>
                    <w:p>
                      <w:pPr>
                        <w:pStyle w:val="30"/>
                        <w:tabs>
                          <w:tab w:val="left" w:pos="2127"/>
                        </w:tabs>
                      </w:pPr>
                      <w:r>
                        <w:rPr>
                          <w:rFonts w:hint="eastAsia"/>
                        </w:rPr>
                        <w:t>参加起草单位：国家仪器仪表元器件质量监督检验中心</w:t>
                      </w:r>
                    </w:p>
                    <w:p>
                      <w:pPr>
                        <w:pStyle w:val="30"/>
                        <w:ind w:firstLine="1960" w:firstLineChars="700"/>
                      </w:pPr>
                      <w:r>
                        <w:rPr>
                          <w:rFonts w:hint="eastAsia"/>
                        </w:rPr>
                        <w:t>机械工业第二十四计量测试站</w:t>
                      </w:r>
                    </w:p>
                    <w:p>
                      <w:pPr>
                        <w:pStyle w:val="30"/>
                        <w:ind w:firstLine="1982" w:firstLineChars="708"/>
                        <w:rPr>
                          <w:color w:val="000000" w:themeColor="text1"/>
                          <w14:textFill>
                            <w14:solidFill>
                              <w14:schemeClr w14:val="tx1"/>
                            </w14:solidFill>
                          </w14:textFill>
                        </w:rPr>
                      </w:pPr>
                      <w:r>
                        <w:rPr>
                          <w:rFonts w:hint="eastAsia"/>
                          <w:color w:val="000000" w:themeColor="text1"/>
                          <w14:textFill>
                            <w14:solidFill>
                              <w14:schemeClr w14:val="tx1"/>
                            </w14:solidFill>
                          </w14:textFill>
                        </w:rPr>
                        <w:t>江苏贝特管件有限公司</w:t>
                      </w:r>
                    </w:p>
                    <w:p>
                      <w:pPr>
                        <w:pStyle w:val="30"/>
                        <w:ind w:firstLine="1982" w:firstLineChars="708"/>
                        <w:rPr>
                          <w:color w:val="000000" w:themeColor="text1"/>
                          <w14:textFill>
                            <w14:solidFill>
                              <w14:schemeClr w14:val="tx1"/>
                            </w14:solidFill>
                          </w14:textFill>
                        </w:rPr>
                      </w:pPr>
                      <w:r>
                        <w:rPr>
                          <w:rFonts w:hint="eastAsia"/>
                          <w:color w:val="000000" w:themeColor="text1"/>
                          <w14:textFill>
                            <w14:solidFill>
                              <w14:schemeClr w14:val="tx1"/>
                            </w14:solidFill>
                          </w14:textFill>
                        </w:rPr>
                        <w:t>大连益多管道有限公司</w:t>
                      </w:r>
                    </w:p>
                  </w:txbxContent>
                </v:textbox>
              </v:shape>
            </w:pict>
          </mc:Fallback>
        </mc:AlternateContent>
      </w:r>
    </w:p>
    <w:p/>
    <w:p/>
    <w:p/>
    <w:p/>
    <w:p/>
    <w:p/>
    <w:p/>
    <w:p/>
    <w:p/>
    <w:p/>
    <w:p>
      <w:r>
        <w:rPr>
          <w:rFonts w:hint="eastAsia"/>
        </w:rPr>
        <mc:AlternateContent>
          <mc:Choice Requires="wps">
            <w:drawing>
              <wp:anchor distT="0" distB="0" distL="114300" distR="114300" simplePos="0" relativeHeight="251668480" behindDoc="0" locked="0" layoutInCell="1" allowOverlap="1">
                <wp:simplePos x="0" y="0"/>
                <wp:positionH relativeFrom="margin">
                  <wp:align>left</wp:align>
                </wp:positionH>
                <wp:positionV relativeFrom="margin">
                  <wp:align>bottom</wp:align>
                </wp:positionV>
                <wp:extent cx="5939790" cy="492760"/>
                <wp:effectExtent l="0" t="0" r="3810" b="2540"/>
                <wp:wrapNone/>
                <wp:docPr id="1" name="文本框 1"/>
                <wp:cNvGraphicFramePr/>
                <a:graphic xmlns:a="http://schemas.openxmlformats.org/drawingml/2006/main">
                  <a:graphicData uri="http://schemas.microsoft.com/office/word/2010/wordprocessingShape">
                    <wps:wsp>
                      <wps:cNvSpPr txBox="1"/>
                      <wps:spPr>
                        <a:xfrm>
                          <a:off x="0" y="0"/>
                          <a:ext cx="5939790" cy="492760"/>
                        </a:xfrm>
                        <a:prstGeom prst="rect">
                          <a:avLst/>
                        </a:prstGeom>
                        <a:solidFill>
                          <a:schemeClr val="lt1"/>
                        </a:solidFill>
                        <a:ln w="6350">
                          <a:noFill/>
                        </a:ln>
                      </wps:spPr>
                      <wps:txbx>
                        <w:txbxContent>
                          <w:p>
                            <w:pPr>
                              <w:pStyle w:val="40"/>
                            </w:pPr>
                            <w:r>
                              <w:rPr>
                                <w:rFonts w:hint="eastAsia"/>
                              </w:rPr>
                              <w:t>本规范条文由中国机械</w:t>
                            </w:r>
                            <w:r>
                              <w:t>工业联合会</w:t>
                            </w:r>
                            <w:r>
                              <w:rPr>
                                <w:rFonts w:hint="eastAsia"/>
                              </w:rPr>
                              <w:t>负责解释</w:t>
                            </w:r>
                          </w:p>
                        </w:txbxContent>
                      </wps:txbx>
                      <wps:bodyPr rot="0" spcFirstLastPara="0" vertOverflow="overflow" horzOverflow="overflow" vert="horz" wrap="square" lIns="91440" tIns="45720" rIns="91440" bIns="45720" numCol="1" spcCol="0" rtlCol="0" fromWordArt="0" anchor="b" anchorCtr="0" forceAA="0" compatLnSpc="1">
                        <a:noAutofit/>
                      </wps:bodyPr>
                    </wps:wsp>
                  </a:graphicData>
                </a:graphic>
              </wp:anchor>
            </w:drawing>
          </mc:Choice>
          <mc:Fallback>
            <w:pict>
              <v:shape id="_x0000_s1026" o:spid="_x0000_s1026" o:spt="202" type="#_x0000_t202" style="position:absolute;left:0pt;height:38.8pt;width:467.7pt;mso-position-horizontal:left;mso-position-horizontal-relative:margin;mso-position-vertical:bottom;mso-position-vertical-relative:margin;z-index:251668480;v-text-anchor:bottom;mso-width-relative:page;mso-height-relative:page;" fillcolor="#FFFFFF [3201]" filled="t" stroked="f" coordsize="21600,21600" o:gfxdata="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AnkT9UAAAAEAQAADwAAAAAAAAABACAAAAAiAAAAZHJzL2Rvd25yZXYueG1s&#10;UEsBAhQAFAAAAAgAh07iQJwVs6s0AgAAQQQAAA4AAAAAAAAAAQAgAAAAJAEAAGRycy9lMm9Eb2Mu&#10;eG1sUEsFBgAAAAAGAAYAWQEAAMoFAAAAAA==&#10;">
                <v:fill on="t" focussize="0,0"/>
                <v:stroke on="f" weight="0.5pt"/>
                <v:imagedata o:title=""/>
                <o:lock v:ext="edit" aspectratio="f"/>
                <v:textbox>
                  <w:txbxContent>
                    <w:p>
                      <w:pPr>
                        <w:pStyle w:val="40"/>
                      </w:pPr>
                      <w:r>
                        <w:rPr>
                          <w:rFonts w:hint="eastAsia"/>
                        </w:rPr>
                        <w:t>本规范条文由中国机械</w:t>
                      </w:r>
                      <w:r>
                        <w:t>工业联合会</w:t>
                      </w:r>
                      <w:r>
                        <w:rPr>
                          <w:rFonts w:hint="eastAsia"/>
                        </w:rPr>
                        <w:t>负责解释</w:t>
                      </w:r>
                    </w:p>
                  </w:txbxContent>
                </v:textbox>
              </v:shape>
            </w:pict>
          </mc:Fallback>
        </mc:AlternateContent>
      </w:r>
    </w:p>
    <w:p/>
    <w:p/>
    <w:p>
      <w:pPr>
        <w:sectPr>
          <w:headerReference r:id="rId10" w:type="default"/>
          <w:pgSz w:w="11906" w:h="16838"/>
          <w:pgMar w:top="1588" w:right="1134" w:bottom="1361" w:left="1418" w:header="1191" w:footer="992" w:gutter="0"/>
          <w:cols w:space="425" w:num="1"/>
          <w:docGrid w:type="linesAndChars" w:linePitch="312" w:charSpace="0"/>
        </w:sectPr>
      </w:pPr>
    </w:p>
    <w:p/>
    <w:p/>
    <w:p/>
    <w:p>
      <w:r>
        <mc:AlternateContent>
          <mc:Choice Requires="wps">
            <w:drawing>
              <wp:anchor distT="0" distB="0" distL="114300" distR="114300" simplePos="0" relativeHeight="251667456" behindDoc="0" locked="0" layoutInCell="1" allowOverlap="1">
                <wp:simplePos x="0" y="0"/>
                <wp:positionH relativeFrom="column">
                  <wp:posOffset>364490</wp:posOffset>
                </wp:positionH>
                <wp:positionV relativeFrom="paragraph">
                  <wp:posOffset>130810</wp:posOffset>
                </wp:positionV>
                <wp:extent cx="5208905" cy="521017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208905" cy="5209953"/>
                        </a:xfrm>
                        <a:prstGeom prst="rect">
                          <a:avLst/>
                        </a:prstGeom>
                        <a:solidFill>
                          <a:schemeClr val="lt1"/>
                        </a:solidFill>
                        <a:ln w="6350">
                          <a:noFill/>
                        </a:ln>
                      </wps:spPr>
                      <wps:txbx>
                        <w:txbxContent>
                          <w:p>
                            <w:pPr>
                              <w:pStyle w:val="31"/>
                            </w:pPr>
                            <w:bookmarkStart w:id="49" w:name="_Toc193603076"/>
                            <w:bookmarkStart w:id="50" w:name="_Toc193551755"/>
                            <w:bookmarkStart w:id="51" w:name="_Toc193552965"/>
                            <w:bookmarkStart w:id="52" w:name="_Toc193601676"/>
                            <w:bookmarkStart w:id="53" w:name="_Toc193601897"/>
                            <w:bookmarkStart w:id="54" w:name="_Toc193555886"/>
                            <w:bookmarkStart w:id="55" w:name="_Toc193547510"/>
                            <w:r>
                              <w:rPr>
                                <w:rFonts w:hint="eastAsia"/>
                              </w:rPr>
                              <w:t>本规范主要起草人：</w:t>
                            </w:r>
                            <w:bookmarkEnd w:id="49"/>
                            <w:bookmarkEnd w:id="50"/>
                            <w:bookmarkEnd w:id="51"/>
                            <w:bookmarkEnd w:id="52"/>
                            <w:bookmarkEnd w:id="53"/>
                            <w:bookmarkEnd w:id="54"/>
                            <w:bookmarkEnd w:id="55"/>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李鹏程（沈阳仪表科学研究院有限公司）</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刘殿东（国家仪器仪表元器件质量监督检验中心）</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张</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盼（沈阳仪表科学研究院有限公司）</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王</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健（机械工业第二十四计量测试站）</w:t>
                            </w:r>
                          </w:p>
                          <w:p>
                            <w:pPr>
                              <w:pStyle w:val="34"/>
                              <w:rPr>
                                <w:color w:val="000000" w:themeColor="text1"/>
                                <w14:textFill>
                                  <w14:solidFill>
                                    <w14:schemeClr w14:val="tx1"/>
                                  </w14:solidFill>
                                </w14:textFill>
                              </w:rPr>
                            </w:pPr>
                            <w:r>
                              <w:rPr>
                                <w:rFonts w:hint="eastAsia"/>
                                <w:color w:val="000000" w:themeColor="text1"/>
                                <w14:textFill>
                                  <w14:solidFill>
                                    <w14:schemeClr w14:val="tx1"/>
                                  </w14:solidFill>
                                </w14:textFill>
                              </w:rPr>
                              <w:t>参加起草人：</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洪  亮（江苏贝特管件有限公司）</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王友刚（大连益多管道有限公司）</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付</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饶（机械工业第二十四计量测试站）</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李  根（国家仪器仪表元器件质量监督检验中心）</w:t>
                            </w:r>
                          </w:p>
                          <w:p>
                            <w:pPr>
                              <w:pStyle w:val="42"/>
                              <w:rPr>
                                <w:color w:val="FF0000"/>
                              </w:rPr>
                            </w:pPr>
                            <w:r>
                              <w:rPr>
                                <w:rFonts w:hint="eastAsia"/>
                                <w:color w:val="000000" w:themeColor="text1"/>
                                <w14:textFill>
                                  <w14:solidFill>
                                    <w14:schemeClr w14:val="tx1"/>
                                  </w14:solidFill>
                                </w14:textFill>
                              </w:rPr>
                              <w:t>李</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琳（国家仪器仪表元器件质量监督检验中心）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7pt;margin-top:10.3pt;height:410.25pt;width:410.15pt;z-index:251667456;mso-width-relative:page;mso-height-relative:page;" fillcolor="#FFFFFF [3201]" filled="t" stroked="f" coordsize="21600,21600" o:gfxdata="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yJjWU1QAAAAkBAAAPAAAAAAAAAAEAIAAAACIAAABkcnMvZG93bnJldi54bWxQ&#10;SwECFAAUAAAACACHTuJAB/x4ODMCAABCBAAADgAAAAAAAAABACAAAAAkAQAAZHJzL2Uyb0RvYy54&#10;bWxQSwUGAAAAAAYABgBZAQAAyQUAAAAA&#10;">
                <v:fill on="t" focussize="0,0"/>
                <v:stroke on="f" weight="0.5pt"/>
                <v:imagedata o:title=""/>
                <o:lock v:ext="edit" aspectratio="f"/>
                <v:textbox>
                  <w:txbxContent>
                    <w:p>
                      <w:pPr>
                        <w:pStyle w:val="31"/>
                      </w:pPr>
                      <w:bookmarkStart w:id="49" w:name="_Toc193603076"/>
                      <w:bookmarkStart w:id="50" w:name="_Toc193551755"/>
                      <w:bookmarkStart w:id="51" w:name="_Toc193552965"/>
                      <w:bookmarkStart w:id="52" w:name="_Toc193601676"/>
                      <w:bookmarkStart w:id="53" w:name="_Toc193601897"/>
                      <w:bookmarkStart w:id="54" w:name="_Toc193555886"/>
                      <w:bookmarkStart w:id="55" w:name="_Toc193547510"/>
                      <w:r>
                        <w:rPr>
                          <w:rFonts w:hint="eastAsia"/>
                        </w:rPr>
                        <w:t>本规范主要起草人：</w:t>
                      </w:r>
                      <w:bookmarkEnd w:id="49"/>
                      <w:bookmarkEnd w:id="50"/>
                      <w:bookmarkEnd w:id="51"/>
                      <w:bookmarkEnd w:id="52"/>
                      <w:bookmarkEnd w:id="53"/>
                      <w:bookmarkEnd w:id="54"/>
                      <w:bookmarkEnd w:id="55"/>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李鹏程（沈阳仪表科学研究院有限公司）</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刘殿东（国家仪器仪表元器件质量监督检验中心）</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张</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盼（沈阳仪表科学研究院有限公司）</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王</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健（机械工业第二十四计量测试站）</w:t>
                      </w:r>
                    </w:p>
                    <w:p>
                      <w:pPr>
                        <w:pStyle w:val="34"/>
                        <w:rPr>
                          <w:color w:val="000000" w:themeColor="text1"/>
                          <w14:textFill>
                            <w14:solidFill>
                              <w14:schemeClr w14:val="tx1"/>
                            </w14:solidFill>
                          </w14:textFill>
                        </w:rPr>
                      </w:pPr>
                      <w:r>
                        <w:rPr>
                          <w:rFonts w:hint="eastAsia"/>
                          <w:color w:val="000000" w:themeColor="text1"/>
                          <w14:textFill>
                            <w14:solidFill>
                              <w14:schemeClr w14:val="tx1"/>
                            </w14:solidFill>
                          </w14:textFill>
                        </w:rPr>
                        <w:t>参加起草人：</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洪  亮（江苏贝特管件有限公司）</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王友刚（大连益多管道有限公司）</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付</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饶（机械工业第二十四计量测试站）</w:t>
                      </w:r>
                    </w:p>
                    <w:p>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李  根（国家仪器仪表元器件质量监督检验中心）</w:t>
                      </w:r>
                    </w:p>
                    <w:p>
                      <w:pPr>
                        <w:pStyle w:val="42"/>
                        <w:rPr>
                          <w:color w:val="FF0000"/>
                        </w:rPr>
                      </w:pPr>
                      <w:r>
                        <w:rPr>
                          <w:rFonts w:hint="eastAsia"/>
                          <w:color w:val="000000" w:themeColor="text1"/>
                          <w14:textFill>
                            <w14:solidFill>
                              <w14:schemeClr w14:val="tx1"/>
                            </w14:solidFill>
                          </w14:textFill>
                        </w:rPr>
                        <w:t>李</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琳（国家仪器仪表元器件质量监督检验中心）</w:t>
                      </w:r>
                    </w:p>
                  </w:txbxContent>
                </v:textbox>
              </v:shape>
            </w:pict>
          </mc:Fallback>
        </mc:AlternateContent>
      </w:r>
    </w:p>
    <w:p/>
    <w:p/>
    <w:p/>
    <w:p/>
    <w:p/>
    <w:p/>
    <w:p/>
    <w:p/>
    <w:p/>
    <w:p/>
    <w:p/>
    <w:p>
      <w:pPr>
        <w:sectPr>
          <w:headerReference r:id="rId11" w:type="even"/>
          <w:pgSz w:w="11906" w:h="16838"/>
          <w:pgMar w:top="1588" w:right="851" w:bottom="1361" w:left="1418" w:header="1191" w:footer="992" w:gutter="0"/>
          <w:cols w:space="425" w:num="1"/>
          <w:docGrid w:type="lines" w:linePitch="312" w:charSpace="0"/>
        </w:sectPr>
      </w:pPr>
    </w:p>
    <w:sdt>
      <w:sdtPr>
        <w:rPr>
          <w:rFonts w:ascii="Times New Roman" w:hAnsi="Times New Roman" w:eastAsia="宋体" w:cstheme="minorBidi"/>
          <w:color w:val="auto"/>
          <w:kern w:val="2"/>
          <w:sz w:val="24"/>
          <w:szCs w:val="24"/>
          <w:lang w:val="zh-CN"/>
        </w:rPr>
        <w:id w:val="715477163"/>
      </w:sdtPr>
      <w:sdtEndPr>
        <w:rPr>
          <w:rFonts w:ascii="Times New Roman" w:hAnsi="Times New Roman" w:eastAsia="宋体" w:cstheme="minorBidi"/>
          <w:b/>
          <w:bCs/>
          <w:color w:val="auto"/>
          <w:kern w:val="2"/>
          <w:sz w:val="24"/>
          <w:szCs w:val="24"/>
          <w:lang w:val="zh-CN"/>
        </w:rPr>
      </w:sdtEndPr>
      <w:sdtContent>
        <w:p>
          <w:pPr>
            <w:pStyle w:val="63"/>
            <w:jc w:val="center"/>
          </w:pPr>
          <w:r>
            <w:rPr>
              <w:lang w:val="zh-CN"/>
            </w:rPr>
            <w:t>目录</w:t>
          </w:r>
        </w:p>
        <w:p>
          <w:pPr>
            <w:pStyle w:val="12"/>
            <w:rPr>
              <w:rFonts w:asciiTheme="minorHAnsi" w:hAnsiTheme="minorHAnsi" w:eastAsiaTheme="minorEastAsia"/>
              <w:sz w:val="21"/>
              <w:szCs w:val="22"/>
            </w:rPr>
          </w:pPr>
          <w:r>
            <w:fldChar w:fldCharType="begin"/>
          </w:r>
          <w:r>
            <w:instrText xml:space="preserve"> TOC \o "1-2" \h \z \u </w:instrText>
          </w:r>
          <w:r>
            <w:fldChar w:fldCharType="separate"/>
          </w:r>
          <w:r>
            <w:fldChar w:fldCharType="begin"/>
          </w:r>
          <w:r>
            <w:instrText xml:space="preserve"> HYPERLINK \l "_Toc517698338" </w:instrText>
          </w:r>
          <w:r>
            <w:fldChar w:fldCharType="separate"/>
          </w:r>
          <w:r>
            <w:rPr>
              <w:rStyle w:val="15"/>
              <w:rFonts w:hint="eastAsia"/>
            </w:rPr>
            <w:t>引言</w:t>
          </w:r>
          <w:r>
            <w:tab/>
          </w:r>
          <w:r>
            <w:fldChar w:fldCharType="begin"/>
          </w:r>
          <w:r>
            <w:instrText xml:space="preserve"> PAGEREF _Toc517698338 \h </w:instrText>
          </w:r>
          <w:r>
            <w:fldChar w:fldCharType="separate"/>
          </w:r>
          <w:r>
            <w:t>II</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"_Toc517698339" </w:instrText>
          </w:r>
          <w:r>
            <w:fldChar w:fldCharType="separate"/>
          </w:r>
          <w:r>
            <w:rPr>
              <w:rStyle w:val="15"/>
            </w:rPr>
            <w:t>1</w:t>
          </w:r>
          <w:r>
            <w:rPr>
              <w:rStyle w:val="15"/>
              <w:rFonts w:hint="eastAsia"/>
            </w:rPr>
            <w:t xml:space="preserve"> 范围</w:t>
          </w:r>
          <w:r>
            <w:tab/>
          </w:r>
          <w:r>
            <w:fldChar w:fldCharType="begin"/>
          </w:r>
          <w:r>
            <w:instrText xml:space="preserve"> PAGEREF _Toc517698339 \h </w:instrText>
          </w:r>
          <w:r>
            <w:fldChar w:fldCharType="separate"/>
          </w:r>
          <w:r>
            <w:t>1</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"_Toc517698340" </w:instrText>
          </w:r>
          <w:r>
            <w:fldChar w:fldCharType="separate"/>
          </w:r>
          <w:r>
            <w:rPr>
              <w:rStyle w:val="15"/>
            </w:rPr>
            <w:t>2</w:t>
          </w:r>
          <w:r>
            <w:rPr>
              <w:rStyle w:val="15"/>
              <w:rFonts w:hint="eastAsia"/>
            </w:rPr>
            <w:t xml:space="preserve"> 引用文件</w:t>
          </w:r>
          <w:r>
            <w:tab/>
          </w:r>
          <w:r>
            <w:fldChar w:fldCharType="begin"/>
          </w:r>
          <w:r>
            <w:instrText xml:space="preserve"> PAGEREF _Toc517698340 \h </w:instrText>
          </w:r>
          <w:r>
            <w:fldChar w:fldCharType="separate"/>
          </w:r>
          <w:r>
            <w:t>1</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"_Toc517698341" </w:instrText>
          </w:r>
          <w:r>
            <w:fldChar w:fldCharType="separate"/>
          </w:r>
          <w:r>
            <w:rPr>
              <w:rStyle w:val="15"/>
            </w:rPr>
            <w:t>3</w:t>
          </w:r>
          <w:r>
            <w:rPr>
              <w:rStyle w:val="15"/>
              <w:rFonts w:hint="eastAsia"/>
            </w:rPr>
            <w:t xml:space="preserve"> 概述</w:t>
          </w:r>
          <w:r>
            <w:tab/>
          </w:r>
          <w:r>
            <w:fldChar w:fldCharType="begin"/>
          </w:r>
          <w:r>
            <w:instrText xml:space="preserve"> PAGEREF _Toc517698341 \h </w:instrText>
          </w:r>
          <w:r>
            <w:fldChar w:fldCharType="separate"/>
          </w:r>
          <w:r>
            <w:t>1</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"_Toc517698342" </w:instrText>
          </w:r>
          <w:r>
            <w:fldChar w:fldCharType="separate"/>
          </w:r>
          <w:r>
            <w:rPr>
              <w:rStyle w:val="15"/>
            </w:rPr>
            <w:t>4</w:t>
          </w:r>
          <w:r>
            <w:rPr>
              <w:rStyle w:val="15"/>
              <w:rFonts w:hint="eastAsia"/>
            </w:rPr>
            <w:t xml:space="preserve"> 计量特性</w:t>
          </w:r>
          <w:r>
            <w:tab/>
          </w:r>
          <w:r>
            <w:fldChar w:fldCharType="begin"/>
          </w:r>
          <w:r>
            <w:instrText xml:space="preserve"> PAGEREF _Toc517698342 \h </w:instrText>
          </w:r>
          <w:r>
            <w:fldChar w:fldCharType="separate"/>
          </w:r>
          <w:r>
            <w:t>2</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"_Toc517698343" </w:instrText>
          </w:r>
          <w:r>
            <w:fldChar w:fldCharType="separate"/>
          </w:r>
          <w:r>
            <w:rPr>
              <w:rStyle w:val="15"/>
            </w:rPr>
            <w:t>4.1</w:t>
          </w:r>
          <w:r>
            <w:rPr>
              <w:rStyle w:val="15"/>
              <w:rFonts w:hint="eastAsia"/>
            </w:rPr>
            <w:t xml:space="preserve"> 旋转扭矩示值误差</w:t>
          </w:r>
          <w:r>
            <w:tab/>
          </w:r>
          <w:r>
            <w:fldChar w:fldCharType="begin"/>
          </w:r>
          <w:r>
            <w:instrText xml:space="preserve"> PAGEREF _Toc517698343 \h </w:instrText>
          </w:r>
          <w:r>
            <w:fldChar w:fldCharType="separate"/>
          </w:r>
          <w:r>
            <w:t>2</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"_Toc517698344" </w:instrText>
          </w:r>
          <w:r>
            <w:fldChar w:fldCharType="separate"/>
          </w:r>
          <w:r>
            <w:rPr>
              <w:rStyle w:val="15"/>
            </w:rPr>
            <w:t>4.2</w:t>
          </w:r>
          <w:r>
            <w:rPr>
              <w:rStyle w:val="15"/>
              <w:rFonts w:hint="eastAsia"/>
            </w:rPr>
            <w:t xml:space="preserve"> 旋转角度示值误差</w:t>
          </w:r>
          <w:r>
            <w:tab/>
          </w:r>
          <w:r>
            <w:fldChar w:fldCharType="begin"/>
          </w:r>
          <w:r>
            <w:instrText xml:space="preserve"> PAGEREF _Toc517698344 \h </w:instrText>
          </w:r>
          <w:r>
            <w:fldChar w:fldCharType="separate"/>
          </w:r>
          <w:r>
            <w:t>2</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"_Toc517698345" </w:instrText>
          </w:r>
          <w:r>
            <w:fldChar w:fldCharType="separate"/>
          </w:r>
          <w:r>
            <w:rPr>
              <w:rStyle w:val="15"/>
            </w:rPr>
            <w:t>4.3</w:t>
          </w:r>
          <w:r>
            <w:rPr>
              <w:rStyle w:val="15"/>
              <w:rFonts w:hint="eastAsia"/>
            </w:rPr>
            <w:t xml:space="preserve"> 旋转角度示值稳定性</w:t>
          </w:r>
          <w:r>
            <w:tab/>
          </w:r>
          <w:r>
            <w:fldChar w:fldCharType="begin"/>
          </w:r>
          <w:r>
            <w:instrText xml:space="preserve"> PAGEREF _Toc517698345 \h </w:instrText>
          </w:r>
          <w:r>
            <w:fldChar w:fldCharType="separate"/>
          </w:r>
          <w:r>
            <w:t>2</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"_Toc517698346" </w:instrText>
          </w:r>
          <w:r>
            <w:fldChar w:fldCharType="separate"/>
          </w:r>
          <w:r>
            <w:rPr>
              <w:rStyle w:val="15"/>
            </w:rPr>
            <w:t>4.4</w:t>
          </w:r>
          <w:r>
            <w:rPr>
              <w:rStyle w:val="15"/>
              <w:rFonts w:hint="eastAsia"/>
            </w:rPr>
            <w:t xml:space="preserve"> 循环次数计数示值误差</w:t>
          </w:r>
          <w:r>
            <w:tab/>
          </w:r>
          <w:r>
            <w:fldChar w:fldCharType="begin"/>
          </w:r>
          <w:r>
            <w:instrText xml:space="preserve"> PAGEREF _Toc517698346 \h </w:instrText>
          </w:r>
          <w:r>
            <w:fldChar w:fldCharType="separate"/>
          </w:r>
          <w:r>
            <w:t>2</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"_Toc517698347" </w:instrText>
          </w:r>
          <w:r>
            <w:fldChar w:fldCharType="separate"/>
          </w:r>
          <w:r>
            <w:rPr>
              <w:rStyle w:val="15"/>
            </w:rPr>
            <w:t>5</w:t>
          </w:r>
          <w:r>
            <w:rPr>
              <w:rStyle w:val="15"/>
              <w:rFonts w:hint="eastAsia"/>
            </w:rPr>
            <w:t xml:space="preserve"> 校准条件</w:t>
          </w:r>
          <w:r>
            <w:tab/>
          </w:r>
          <w:r>
            <w:fldChar w:fldCharType="begin"/>
          </w:r>
          <w:r>
            <w:instrText xml:space="preserve"> PAGEREF _Toc517698347 \h </w:instrText>
          </w:r>
          <w:r>
            <w:fldChar w:fldCharType="separate"/>
          </w:r>
          <w:r>
            <w:t>2</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"_Toc517698348" </w:instrText>
          </w:r>
          <w:r>
            <w:fldChar w:fldCharType="separate"/>
          </w:r>
          <w:r>
            <w:rPr>
              <w:rStyle w:val="15"/>
            </w:rPr>
            <w:t>5.1</w:t>
          </w:r>
          <w:r>
            <w:rPr>
              <w:rStyle w:val="15"/>
              <w:rFonts w:hint="eastAsia"/>
            </w:rPr>
            <w:t xml:space="preserve"> 环境条件</w:t>
          </w:r>
          <w:r>
            <w:tab/>
          </w:r>
          <w:r>
            <w:fldChar w:fldCharType="begin"/>
          </w:r>
          <w:r>
            <w:instrText xml:space="preserve"> PAGEREF _Toc517698348 \h </w:instrText>
          </w:r>
          <w:r>
            <w:fldChar w:fldCharType="separate"/>
          </w:r>
          <w:r>
            <w:t>2</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"_Toc517698349" </w:instrText>
          </w:r>
          <w:r>
            <w:fldChar w:fldCharType="separate"/>
          </w:r>
          <w:r>
            <w:rPr>
              <w:rStyle w:val="15"/>
            </w:rPr>
            <w:t>5.2</w:t>
          </w:r>
          <w:r>
            <w:rPr>
              <w:rFonts w:hint="eastAsia"/>
            </w:rPr>
            <w:t>校准项目和标准计量器具及配套设备</w:t>
          </w:r>
          <w:r>
            <w:rPr>
              <w:rStyle w:val="15"/>
              <w:rFonts w:hint="eastAsia"/>
            </w:rPr>
            <w:t>（见表</w:t>
          </w:r>
          <w:r>
            <w:rPr>
              <w:rStyle w:val="15"/>
            </w:rPr>
            <w:t>1</w:t>
          </w:r>
          <w:r>
            <w:rPr>
              <w:rStyle w:val="15"/>
              <w:rFonts w:hint="eastAsia"/>
            </w:rPr>
            <w:t>）</w:t>
          </w:r>
          <w:r>
            <w:tab/>
          </w:r>
          <w:r>
            <w:fldChar w:fldCharType="begin"/>
          </w:r>
          <w:r>
            <w:instrText xml:space="preserve"> PAGEREF _Toc517698349 \h </w:instrText>
          </w:r>
          <w:r>
            <w:fldChar w:fldCharType="separate"/>
          </w:r>
          <w:r>
            <w:t>2</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"_Toc517698350" </w:instrText>
          </w:r>
          <w:r>
            <w:fldChar w:fldCharType="separate"/>
          </w:r>
          <w:r>
            <w:rPr>
              <w:rStyle w:val="15"/>
            </w:rPr>
            <w:t>6</w:t>
          </w:r>
          <w:r>
            <w:rPr>
              <w:rStyle w:val="15"/>
              <w:rFonts w:hint="eastAsia"/>
            </w:rPr>
            <w:t xml:space="preserve"> 校准方法</w:t>
          </w:r>
          <w:r>
            <w:tab/>
          </w:r>
          <w:r>
            <w:fldChar w:fldCharType="begin"/>
          </w:r>
          <w:r>
            <w:instrText xml:space="preserve"> PAGEREF _Toc517698350 \h </w:instrText>
          </w:r>
          <w:r>
            <w:fldChar w:fldCharType="separate"/>
          </w:r>
          <w:r>
            <w:t>3</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"_Toc517698351" </w:instrText>
          </w:r>
          <w:r>
            <w:fldChar w:fldCharType="separate"/>
          </w:r>
          <w:r>
            <w:rPr>
              <w:rStyle w:val="15"/>
            </w:rPr>
            <w:t>6.1</w:t>
          </w:r>
          <w:r>
            <w:rPr>
              <w:rStyle w:val="15"/>
              <w:rFonts w:hint="eastAsia"/>
            </w:rPr>
            <w:t xml:space="preserve"> 概述</w:t>
          </w:r>
          <w:r>
            <w:tab/>
          </w:r>
          <w:r>
            <w:fldChar w:fldCharType="begin"/>
          </w:r>
          <w:r>
            <w:instrText xml:space="preserve"> PAGEREF _Toc517698351 \h </w:instrText>
          </w:r>
          <w:r>
            <w:fldChar w:fldCharType="separate"/>
          </w:r>
          <w:r>
            <w:t>3</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"_Toc517698352" </w:instrText>
          </w:r>
          <w:r>
            <w:fldChar w:fldCharType="separate"/>
          </w:r>
          <w:r>
            <w:rPr>
              <w:rStyle w:val="15"/>
            </w:rPr>
            <w:t>6.2</w:t>
          </w:r>
          <w:r>
            <w:rPr>
              <w:rStyle w:val="15"/>
              <w:rFonts w:hint="eastAsia"/>
            </w:rPr>
            <w:t xml:space="preserve"> 旋转扭矩示值误差</w:t>
          </w:r>
          <w:r>
            <w:tab/>
          </w:r>
          <w:r>
            <w:fldChar w:fldCharType="begin"/>
          </w:r>
          <w:r>
            <w:instrText xml:space="preserve"> PAGEREF _Toc517698352 \h </w:instrText>
          </w:r>
          <w:r>
            <w:fldChar w:fldCharType="separate"/>
          </w:r>
          <w:r>
            <w:t>3</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"_Toc517698353" </w:instrText>
          </w:r>
          <w:r>
            <w:fldChar w:fldCharType="separate"/>
          </w:r>
          <w:r>
            <w:rPr>
              <w:rStyle w:val="15"/>
            </w:rPr>
            <w:t>6.3</w:t>
          </w:r>
          <w:r>
            <w:rPr>
              <w:rStyle w:val="15"/>
              <w:rFonts w:hint="eastAsia"/>
            </w:rPr>
            <w:t xml:space="preserve"> 旋转角度示值误差</w:t>
          </w:r>
          <w:r>
            <w:tab/>
          </w:r>
          <w:r>
            <w:fldChar w:fldCharType="begin"/>
          </w:r>
          <w:r>
            <w:instrText xml:space="preserve"> PAGEREF _Toc517698353 \h </w:instrText>
          </w:r>
          <w:r>
            <w:fldChar w:fldCharType="separate"/>
          </w:r>
          <w:r>
            <w:t>4</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"_Toc517698354" </w:instrText>
          </w:r>
          <w:r>
            <w:fldChar w:fldCharType="separate"/>
          </w:r>
          <w:r>
            <w:rPr>
              <w:rStyle w:val="15"/>
            </w:rPr>
            <w:t>6.4</w:t>
          </w:r>
          <w:r>
            <w:rPr>
              <w:rStyle w:val="15"/>
              <w:rFonts w:hint="eastAsia"/>
            </w:rPr>
            <w:t xml:space="preserve"> 旋转角度示值稳定性（适用于具有往复旋转功能的试验机）</w:t>
          </w:r>
          <w:r>
            <w:tab/>
          </w:r>
          <w:r>
            <w:fldChar w:fldCharType="begin"/>
          </w:r>
          <w:r>
            <w:instrText xml:space="preserve"> PAGEREF _Toc517698354 \h </w:instrText>
          </w:r>
          <w:r>
            <w:fldChar w:fldCharType="separate"/>
          </w:r>
          <w:r>
            <w:t>4</w:t>
          </w:r>
          <w:r>
            <w:fldChar w:fldCharType="end"/>
          </w:r>
          <w:r>
            <w:fldChar w:fldCharType="end"/>
          </w:r>
        </w:p>
        <w:p>
          <w:pPr>
            <w:pStyle w:val="13"/>
            <w:rPr>
              <w:rFonts w:asciiTheme="minorHAnsi" w:hAnsiTheme="minorHAnsi" w:eastAsiaTheme="minorEastAsia"/>
              <w:sz w:val="21"/>
              <w:szCs w:val="22"/>
            </w:rPr>
          </w:pPr>
          <w:r>
            <w:fldChar w:fldCharType="begin"/>
          </w:r>
          <w:r>
            <w:instrText xml:space="preserve"> HYPERLINK \l "_Toc517698355" </w:instrText>
          </w:r>
          <w:r>
            <w:fldChar w:fldCharType="separate"/>
          </w:r>
          <w:r>
            <w:rPr>
              <w:rStyle w:val="15"/>
            </w:rPr>
            <w:t>6.5</w:t>
          </w:r>
          <w:r>
            <w:rPr>
              <w:rStyle w:val="15"/>
              <w:rFonts w:hint="eastAsia"/>
            </w:rPr>
            <w:t xml:space="preserve"> 循环次数计数示值误差</w:t>
          </w:r>
          <w:r>
            <w:tab/>
          </w:r>
          <w:r>
            <w:fldChar w:fldCharType="begin"/>
          </w:r>
          <w:r>
            <w:instrText xml:space="preserve"> PAGEREF _Toc517698355 \h </w:instrText>
          </w:r>
          <w:r>
            <w:fldChar w:fldCharType="separate"/>
          </w:r>
          <w:r>
            <w:t>5</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"_Toc517698356" </w:instrText>
          </w:r>
          <w:r>
            <w:fldChar w:fldCharType="separate"/>
          </w:r>
          <w:r>
            <w:rPr>
              <w:rStyle w:val="15"/>
            </w:rPr>
            <w:t>7</w:t>
          </w:r>
          <w:r>
            <w:rPr>
              <w:rStyle w:val="15"/>
              <w:rFonts w:hint="eastAsia"/>
            </w:rPr>
            <w:t xml:space="preserve"> 校准结果表达</w:t>
          </w:r>
          <w:r>
            <w:tab/>
          </w:r>
          <w:r>
            <w:fldChar w:fldCharType="begin"/>
          </w:r>
          <w:r>
            <w:instrText xml:space="preserve"> PAGEREF _Toc517698356 \h </w:instrText>
          </w:r>
          <w:r>
            <w:fldChar w:fldCharType="separate"/>
          </w:r>
          <w:r>
            <w:t>5</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"_Toc517698357" </w:instrText>
          </w:r>
          <w:r>
            <w:fldChar w:fldCharType="separate"/>
          </w:r>
          <w:r>
            <w:rPr>
              <w:rStyle w:val="15"/>
            </w:rPr>
            <w:t>8</w:t>
          </w:r>
          <w:r>
            <w:rPr>
              <w:rStyle w:val="15"/>
              <w:rFonts w:hint="eastAsia"/>
            </w:rPr>
            <w:t xml:space="preserve"> 复校时间间隔</w:t>
          </w:r>
          <w:r>
            <w:tab/>
          </w:r>
          <w:r>
            <w:fldChar w:fldCharType="begin"/>
          </w:r>
          <w:r>
            <w:instrText xml:space="preserve"> PAGEREF _Toc517698357 \h </w:instrText>
          </w:r>
          <w:r>
            <w:fldChar w:fldCharType="separate"/>
          </w:r>
          <w:r>
            <w:t>5</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"_Toc517698358" </w:instrText>
          </w:r>
          <w:r>
            <w:fldChar w:fldCharType="separate"/>
          </w:r>
          <w:r>
            <w:rPr>
              <w:rStyle w:val="15"/>
              <w:rFonts w:hint="eastAsia"/>
            </w:rPr>
            <w:t xml:space="preserve">附录 A </w:t>
          </w:r>
          <w:r>
            <w:rPr>
              <w:rFonts w:hint="eastAsia"/>
            </w:rPr>
            <w:t>旋转扭矩示值误差</w:t>
          </w:r>
          <w:r>
            <w:rPr>
              <w:rStyle w:val="15"/>
              <w:rFonts w:hint="eastAsia"/>
            </w:rPr>
            <w:t>校准结果的测量不确定度评定</w:t>
          </w:r>
          <w:r>
            <w:tab/>
          </w:r>
          <w:r>
            <w:fldChar w:fldCharType="begin"/>
          </w:r>
          <w:r>
            <w:instrText xml:space="preserve"> PAGEREF _Toc517698358 \h </w:instrText>
          </w:r>
          <w:r>
            <w:fldChar w:fldCharType="separate"/>
          </w:r>
          <w:r>
            <w:t>6</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"_Toc517698359" </w:instrText>
          </w:r>
          <w:r>
            <w:fldChar w:fldCharType="separate"/>
          </w:r>
          <w:r>
            <w:rPr>
              <w:rStyle w:val="15"/>
              <w:rFonts w:hint="eastAsia"/>
            </w:rPr>
            <w:t xml:space="preserve">附录 B </w:t>
          </w:r>
          <w:r>
            <w:rPr>
              <w:rFonts w:hint="eastAsia"/>
            </w:rPr>
            <w:t>旋转角度示值误差</w:t>
          </w:r>
          <w:r>
            <w:rPr>
              <w:rStyle w:val="15"/>
              <w:rFonts w:hint="eastAsia"/>
            </w:rPr>
            <w:t>校准结果的测量不确定度评定</w:t>
          </w:r>
          <w:r>
            <w:tab/>
          </w:r>
          <w:r>
            <w:fldChar w:fldCharType="begin"/>
          </w:r>
          <w:r>
            <w:instrText xml:space="preserve"> PAGEREF _Toc517698359 \h </w:instrText>
          </w:r>
          <w:r>
            <w:fldChar w:fldCharType="separate"/>
          </w:r>
          <w:r>
            <w:t>8</w:t>
          </w:r>
          <w:r>
            <w:fldChar w:fldCharType="end"/>
          </w:r>
          <w:r>
            <w:fldChar w:fldCharType="end"/>
          </w:r>
        </w:p>
        <w:p>
          <w:pPr>
            <w:pStyle w:val="12"/>
            <w:rPr>
              <w:rFonts w:asciiTheme="minorHAnsi" w:hAnsiTheme="minorHAnsi" w:eastAsiaTheme="minorEastAsia"/>
              <w:sz w:val="21"/>
              <w:szCs w:val="22"/>
            </w:rPr>
          </w:pPr>
          <w:r>
            <w:fldChar w:fldCharType="begin"/>
          </w:r>
          <w:r>
            <w:instrText xml:space="preserve"> HYPERLINK \l "_Toc517698360" </w:instrText>
          </w:r>
          <w:r>
            <w:fldChar w:fldCharType="separate"/>
          </w:r>
          <w:r>
            <w:rPr>
              <w:rStyle w:val="15"/>
              <w:rFonts w:hint="eastAsia"/>
            </w:rPr>
            <w:t>附录 C 校准证书内页信息及格式</w:t>
          </w:r>
          <w:r>
            <w:tab/>
          </w:r>
          <w:r>
            <w:fldChar w:fldCharType="begin"/>
          </w:r>
          <w:r>
            <w:instrText xml:space="preserve"> PAGEREF _Toc517698360 \h </w:instrText>
          </w:r>
          <w:r>
            <w:fldChar w:fldCharType="separate"/>
          </w:r>
          <w:r>
            <w:t>10</w:t>
          </w:r>
          <w:r>
            <w:fldChar w:fldCharType="end"/>
          </w:r>
          <w:r>
            <w:fldChar w:fldCharType="end"/>
          </w:r>
        </w:p>
        <w:p>
          <w:pPr>
            <w:ind w:firstLine="0" w:firstLineChars="0"/>
          </w:pPr>
          <w:r>
            <w:fldChar w:fldCharType="end"/>
          </w:r>
        </w:p>
      </w:sdtContent>
    </w:sdt>
    <w:p>
      <w:pPr>
        <w:ind w:firstLine="0" w:firstLineChars="0"/>
      </w:pPr>
    </w:p>
    <w:p/>
    <w:p/>
    <w:p/>
    <w:p>
      <w:pPr>
        <w:sectPr>
          <w:footerReference r:id="rId12" w:type="default"/>
          <w:pgSz w:w="11906" w:h="16838"/>
          <w:pgMar w:top="1588" w:right="851" w:bottom="1361" w:left="1418" w:header="1162" w:footer="567" w:gutter="0"/>
          <w:pgNumType w:fmt="upperRoman" w:start="1"/>
          <w:cols w:space="425" w:num="1"/>
          <w:docGrid w:type="lines" w:linePitch="326" w:charSpace="0"/>
        </w:sectPr>
      </w:pPr>
    </w:p>
    <w:p>
      <w:pPr>
        <w:pStyle w:val="44"/>
      </w:pPr>
      <w:bookmarkStart w:id="4" w:name="_Toc478472371"/>
      <w:bookmarkStart w:id="5" w:name="_Toc517698338"/>
      <w:r>
        <w:rPr>
          <w:rFonts w:hint="eastAsia"/>
        </w:rPr>
        <w:t>引言</w:t>
      </w:r>
      <w:bookmarkEnd w:id="4"/>
      <w:bookmarkEnd w:id="5"/>
    </w:p>
    <w:p>
      <w:r>
        <w:rPr>
          <w:rFonts w:hint="eastAsia"/>
        </w:rPr>
        <w:t>本规范依据JJF 1071-2010《国家计量校准规范编写规则》、JJF 1059.1-2012《测量不确定度评定与表示》和JJF 1130-2005《几何量测量设备校准中的不确定度评定指南》编制。</w:t>
      </w:r>
    </w:p>
    <w:p>
      <w:r>
        <w:rPr>
          <w:rFonts w:hint="eastAsia"/>
        </w:rPr>
        <w:t>规范编制中参考了：JB/T 12936-2016《旋转补偿器》、JJF（机械）024-2008《弹性元件疲劳试验机校准规范》标准中关于旋转及疲劳寿命试验的内容。</w:t>
      </w:r>
    </w:p>
    <w:p>
      <w:r>
        <w:rPr>
          <w:rFonts w:hint="eastAsia"/>
        </w:rPr>
        <w:t>本规范为首次发布。</w:t>
      </w:r>
    </w:p>
    <w:p>
      <w:pPr>
        <w:pStyle w:val="28"/>
      </w:pPr>
    </w:p>
    <w:p>
      <w:pPr>
        <w:pStyle w:val="28"/>
      </w:pPr>
    </w:p>
    <w:p>
      <w:pPr>
        <w:pStyle w:val="28"/>
      </w:pPr>
    </w:p>
    <w:p>
      <w:pPr>
        <w:pStyle w:val="28"/>
      </w:pPr>
    </w:p>
    <w:p>
      <w:pPr>
        <w:pStyle w:val="28"/>
      </w:pPr>
    </w:p>
    <w:p>
      <w:pPr>
        <w:pStyle w:val="28"/>
      </w:pPr>
    </w:p>
    <w:p>
      <w:pPr>
        <w:pStyle w:val="28"/>
      </w:pPr>
    </w:p>
    <w:p/>
    <w:p>
      <w:pPr>
        <w:sectPr>
          <w:footerReference r:id="rId13" w:type="even"/>
          <w:pgSz w:w="11906" w:h="16838"/>
          <w:pgMar w:top="1588" w:right="1418" w:bottom="1361" w:left="1247" w:header="1162" w:footer="567" w:gutter="0"/>
          <w:pgNumType w:fmt="upperRoman"/>
          <w:cols w:space="425" w:num="1"/>
          <w:docGrid w:type="lines" w:linePitch="326" w:charSpace="0"/>
        </w:sectPr>
      </w:pPr>
    </w:p>
    <w:p>
      <w:pPr>
        <w:pStyle w:val="47"/>
      </w:pPr>
      <w:r>
        <w:rPr>
          <w:rFonts w:hint="eastAsia"/>
        </w:rPr>
        <w:t>旋转疲劳试验机校准规范</w:t>
      </w:r>
    </w:p>
    <w:p>
      <w:pPr>
        <w:pStyle w:val="2"/>
      </w:pPr>
      <w:bookmarkStart w:id="6" w:name="_Toc478472372"/>
      <w:bookmarkStart w:id="7" w:name="_Toc517698339"/>
      <w:r>
        <w:rPr>
          <w:rFonts w:hint="eastAsia"/>
        </w:rPr>
        <w:t>范围</w:t>
      </w:r>
      <w:bookmarkEnd w:id="6"/>
      <w:bookmarkEnd w:id="7"/>
    </w:p>
    <w:p>
      <w:r>
        <w:rPr>
          <w:rFonts w:hint="eastAsia"/>
        </w:rPr>
        <w:t>本规范适用于具有双向往复旋转和单向持续旋转功能的旋转疲劳试验机的校准，其他形式旋转疲劳试验机可参照使用。</w:t>
      </w:r>
    </w:p>
    <w:p>
      <w:pPr>
        <w:pStyle w:val="2"/>
      </w:pPr>
      <w:bookmarkStart w:id="8" w:name="_Toc517698340"/>
      <w:bookmarkStart w:id="9" w:name="_Toc478472373"/>
      <w:r>
        <w:rPr>
          <w:rFonts w:hint="eastAsia"/>
        </w:rPr>
        <w:t>引用文件</w:t>
      </w:r>
      <w:bookmarkEnd w:id="8"/>
      <w:bookmarkEnd w:id="9"/>
    </w:p>
    <w:p>
      <w:r>
        <w:rPr>
          <w:rFonts w:hint="eastAsia"/>
        </w:rPr>
        <w:t>本规范引用下列文件：</w:t>
      </w:r>
    </w:p>
    <w:p>
      <w:r>
        <w:rPr>
          <w:rFonts w:hint="eastAsia"/>
        </w:rPr>
        <w:t>JB/T</w:t>
      </w:r>
      <w:r>
        <w:t xml:space="preserve"> </w:t>
      </w:r>
      <w:r>
        <w:rPr>
          <w:rFonts w:hint="eastAsia"/>
        </w:rPr>
        <w:t>12936-2016旋转补偿器</w:t>
      </w:r>
    </w:p>
    <w:p>
      <w:r>
        <w:rPr>
          <w:rFonts w:hint="eastAsia"/>
        </w:rPr>
        <w:t>凡是注日期的引用文件，仅注日期的版本适用于本规范；凡是不注日期的引用文件，其最新版本（包括所有的修改单）适用于本规范。</w:t>
      </w:r>
    </w:p>
    <w:p>
      <w:pPr>
        <w:pStyle w:val="2"/>
      </w:pPr>
      <w:bookmarkStart w:id="10" w:name="_Toc517698341"/>
      <w:bookmarkStart w:id="11" w:name="_Toc478472374"/>
      <w:r>
        <w:rPr>
          <w:rFonts w:hint="eastAsia"/>
        </w:rPr>
        <w:t>概述</w:t>
      </w:r>
      <w:bookmarkEnd w:id="10"/>
      <w:bookmarkEnd w:id="11"/>
    </w:p>
    <w:p>
      <w:r>
        <w:rPr>
          <w:rFonts w:hint="eastAsia"/>
        </w:rPr>
        <w:t>旋转疲劳试验机（以下简称试验机）是指一种能对含有机械转动机构的产品进行双向往复旋转或单向持续旋转的旋转疲劳试验装置。它广泛应用于</w:t>
      </w:r>
      <w:r>
        <w:rPr>
          <w:rFonts w:hint="eastAsia" w:ascii="宋体" w:hAnsi="宋体"/>
        </w:rPr>
        <w:t>旋转补偿器、阀门和转动开关等产品的旋转疲劳寿命试验，通常具有扭矩测量等功能。典型结构有上旋转驱动型见图1和下旋转驱动型见图2。</w:t>
      </w:r>
    </w:p>
    <w:p>
      <w:pPr>
        <w:spacing w:line="240" w:lineRule="auto"/>
        <w:ind w:firstLine="0" w:firstLineChars="0"/>
        <w:jc w:val="center"/>
      </w:pPr>
      <w:r>
        <w:drawing>
          <wp:inline distT="0" distB="0" distL="0" distR="0">
            <wp:extent cx="3265170" cy="3059430"/>
            <wp:effectExtent l="0" t="0" r="0" b="7620"/>
            <wp:docPr id="7" name="图片 7" descr="I:\2018.3.21开始-旋转试验机校准规范制定\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2018.3.21开始-旋转试验机校准规范制定\图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265360" cy="3060000"/>
                    </a:xfrm>
                    <a:prstGeom prst="rect">
                      <a:avLst/>
                    </a:prstGeom>
                    <a:noFill/>
                    <a:ln>
                      <a:noFill/>
                    </a:ln>
                  </pic:spPr>
                </pic:pic>
              </a:graphicData>
            </a:graphic>
          </wp:inline>
        </w:drawing>
      </w:r>
    </w:p>
    <w:p>
      <w:pPr>
        <w:pStyle w:val="50"/>
      </w:pPr>
      <w:bookmarkStart w:id="12" w:name="_Ref478474322"/>
      <w:r>
        <w:rPr>
          <w:rFonts w:hint="eastAsia"/>
        </w:rPr>
        <w:t>图</w:t>
      </w:r>
      <w:r>
        <w:fldChar w:fldCharType="begin"/>
      </w:r>
      <w:r>
        <w:instrText xml:space="preserve"> </w:instrText>
      </w:r>
      <w:r>
        <w:rPr>
          <w:rFonts w:hint="eastAsia"/>
        </w:rPr>
        <w:instrText xml:space="preserve">SEQ 图 \* ARABIC</w:instrText>
      </w:r>
      <w:r>
        <w:instrText xml:space="preserve"> </w:instrText>
      </w:r>
      <w:r>
        <w:fldChar w:fldCharType="separate"/>
      </w:r>
      <w:r>
        <w:t>1</w:t>
      </w:r>
      <w:r>
        <w:fldChar w:fldCharType="end"/>
      </w:r>
      <w:bookmarkEnd w:id="12"/>
      <w:r>
        <w:t xml:space="preserve"> </w:t>
      </w:r>
      <w:r>
        <w:rPr>
          <w:rFonts w:hint="eastAsia"/>
        </w:rPr>
        <w:t>上旋转驱动型试验机结构示意图</w:t>
      </w:r>
    </w:p>
    <w:p>
      <w:pPr>
        <w:pStyle w:val="50"/>
        <w:spacing w:line="240" w:lineRule="auto"/>
      </w:pPr>
      <w:r>
        <w:drawing>
          <wp:inline distT="0" distB="0" distL="0" distR="0">
            <wp:extent cx="2952115" cy="3059430"/>
            <wp:effectExtent l="0" t="0" r="635" b="7620"/>
            <wp:docPr id="15" name="图片 15" descr="I:\2018.3.21开始-旋转试验机校准规范制定\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2018.3.21开始-旋转试验机校准规范制定\图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952131" cy="3060000"/>
                    </a:xfrm>
                    <a:prstGeom prst="rect">
                      <a:avLst/>
                    </a:prstGeom>
                    <a:noFill/>
                    <a:ln>
                      <a:noFill/>
                    </a:ln>
                  </pic:spPr>
                </pic:pic>
              </a:graphicData>
            </a:graphic>
          </wp:inline>
        </w:drawing>
      </w:r>
    </w:p>
    <w:p>
      <w:pPr>
        <w:pStyle w:val="50"/>
      </w:pPr>
      <w:bookmarkStart w:id="13" w:name="_Ref478474325"/>
      <w:r>
        <w:rPr>
          <w:rFonts w:hint="eastAsia"/>
        </w:rPr>
        <w:t>图</w:t>
      </w:r>
      <w:r>
        <w:fldChar w:fldCharType="begin"/>
      </w:r>
      <w:r>
        <w:instrText xml:space="preserve"> </w:instrText>
      </w:r>
      <w:r>
        <w:rPr>
          <w:rFonts w:hint="eastAsia"/>
        </w:rPr>
        <w:instrText xml:space="preserve">SEQ 图 \* ARABIC</w:instrText>
      </w:r>
      <w:r>
        <w:instrText xml:space="preserve"> </w:instrText>
      </w:r>
      <w:r>
        <w:fldChar w:fldCharType="separate"/>
      </w:r>
      <w:r>
        <w:t>2</w:t>
      </w:r>
      <w:r>
        <w:fldChar w:fldCharType="end"/>
      </w:r>
      <w:bookmarkEnd w:id="13"/>
      <w:r>
        <w:t xml:space="preserve"> </w:t>
      </w:r>
      <w:r>
        <w:rPr>
          <w:rFonts w:hint="eastAsia"/>
        </w:rPr>
        <w:t>下旋转驱动型试验机结构示意图</w:t>
      </w:r>
    </w:p>
    <w:p>
      <w:pPr>
        <w:pStyle w:val="2"/>
      </w:pPr>
      <w:bookmarkStart w:id="14" w:name="_Toc478472375"/>
      <w:bookmarkStart w:id="15" w:name="_Toc517698342"/>
      <w:r>
        <w:rPr>
          <w:rFonts w:hint="eastAsia"/>
        </w:rPr>
        <w:t>计量特性</w:t>
      </w:r>
      <w:bookmarkEnd w:id="14"/>
      <w:bookmarkEnd w:id="15"/>
    </w:p>
    <w:p>
      <w:pPr>
        <w:pStyle w:val="4"/>
        <w:rPr>
          <w:color w:val="000000" w:themeColor="text1"/>
          <w14:textFill>
            <w14:solidFill>
              <w14:schemeClr w14:val="tx1"/>
            </w14:solidFill>
          </w14:textFill>
        </w:rPr>
      </w:pPr>
      <w:bookmarkStart w:id="16" w:name="_Toc478472376"/>
      <w:bookmarkStart w:id="17" w:name="_Toc517698343"/>
      <w:r>
        <w:rPr>
          <w:rFonts w:hint="eastAsia"/>
          <w:color w:val="000000" w:themeColor="text1"/>
          <w14:textFill>
            <w14:solidFill>
              <w14:schemeClr w14:val="tx1"/>
            </w14:solidFill>
          </w14:textFill>
        </w:rPr>
        <w:t>旋转扭矩示值误差</w:t>
      </w:r>
      <w:bookmarkEnd w:id="16"/>
      <w:bookmarkEnd w:id="17"/>
    </w:p>
    <w:p>
      <w:r>
        <w:rPr>
          <w:rFonts w:hint="eastAsia"/>
        </w:rPr>
        <w:t>最大允许误差：±2.0%。</w:t>
      </w:r>
    </w:p>
    <w:p>
      <w:pPr>
        <w:pStyle w:val="4"/>
        <w:rPr>
          <w:color w:val="000000" w:themeColor="text1"/>
          <w14:textFill>
            <w14:solidFill>
              <w14:schemeClr w14:val="tx1"/>
            </w14:solidFill>
          </w14:textFill>
        </w:rPr>
      </w:pPr>
      <w:bookmarkStart w:id="18" w:name="_Toc478472378"/>
      <w:bookmarkStart w:id="19" w:name="_Toc517698344"/>
      <w:r>
        <w:rPr>
          <w:rFonts w:hint="eastAsia"/>
          <w:color w:val="000000" w:themeColor="text1"/>
          <w14:textFill>
            <w14:solidFill>
              <w14:schemeClr w14:val="tx1"/>
            </w14:solidFill>
          </w14:textFill>
        </w:rPr>
        <w:t>旋转角度示值</w:t>
      </w:r>
      <w:bookmarkEnd w:id="18"/>
      <w:r>
        <w:rPr>
          <w:rFonts w:hint="eastAsia"/>
          <w:color w:val="000000" w:themeColor="text1"/>
          <w14:textFill>
            <w14:solidFill>
              <w14:schemeClr w14:val="tx1"/>
            </w14:solidFill>
          </w14:textFill>
        </w:rPr>
        <w:t>误差</w:t>
      </w:r>
      <w:bookmarkEnd w:id="19"/>
    </w:p>
    <w:p>
      <w:r>
        <w:rPr>
          <w:rFonts w:hint="eastAsia"/>
        </w:rPr>
        <w:t>最大允许误差：±1.0°。</w:t>
      </w:r>
    </w:p>
    <w:p>
      <w:pPr>
        <w:pStyle w:val="4"/>
        <w:rPr>
          <w:color w:val="000000" w:themeColor="text1"/>
          <w14:textFill>
            <w14:solidFill>
              <w14:schemeClr w14:val="tx1"/>
            </w14:solidFill>
          </w14:textFill>
        </w:rPr>
      </w:pPr>
      <w:bookmarkStart w:id="20" w:name="_Toc517698345"/>
      <w:r>
        <w:rPr>
          <w:rFonts w:hint="eastAsia"/>
          <w:color w:val="000000" w:themeColor="text1"/>
          <w14:textFill>
            <w14:solidFill>
              <w14:schemeClr w14:val="tx1"/>
            </w14:solidFill>
          </w14:textFill>
        </w:rPr>
        <w:t>旋转角度示值稳定性</w:t>
      </w:r>
      <w:bookmarkEnd w:id="20"/>
    </w:p>
    <w:p>
      <w:r>
        <w:rPr>
          <w:rFonts w:hint="eastAsia"/>
        </w:rPr>
        <w:t>旋转角度示值稳定性应不大于1.0°。</w:t>
      </w:r>
    </w:p>
    <w:p>
      <w:pPr>
        <w:pStyle w:val="4"/>
        <w:rPr>
          <w:color w:val="000000" w:themeColor="text1"/>
          <w14:textFill>
            <w14:solidFill>
              <w14:schemeClr w14:val="tx1"/>
            </w14:solidFill>
          </w14:textFill>
        </w:rPr>
      </w:pPr>
      <w:bookmarkStart w:id="21" w:name="_Toc517698346"/>
      <w:r>
        <w:rPr>
          <w:rFonts w:hint="eastAsia"/>
          <w:color w:val="000000" w:themeColor="text1"/>
          <w14:textFill>
            <w14:solidFill>
              <w14:schemeClr w14:val="tx1"/>
            </w14:solidFill>
          </w14:textFill>
        </w:rPr>
        <w:t>循环次数计数示值误差</w:t>
      </w:r>
      <w:bookmarkEnd w:id="21"/>
    </w:p>
    <w:p>
      <w:r>
        <w:rPr>
          <w:rFonts w:hint="eastAsia"/>
        </w:rPr>
        <w:t>循环次数计数示值误差应不大于2次。</w:t>
      </w:r>
    </w:p>
    <w:p>
      <w:pPr>
        <w:pStyle w:val="2"/>
      </w:pPr>
      <w:bookmarkStart w:id="22" w:name="_Toc517698347"/>
      <w:bookmarkStart w:id="23" w:name="_Toc478472379"/>
      <w:r>
        <w:rPr>
          <w:rFonts w:hint="eastAsia"/>
        </w:rPr>
        <w:t>校准条件</w:t>
      </w:r>
      <w:bookmarkEnd w:id="22"/>
      <w:bookmarkEnd w:id="23"/>
    </w:p>
    <w:p>
      <w:pPr>
        <w:pStyle w:val="4"/>
      </w:pPr>
      <w:bookmarkStart w:id="24" w:name="_Toc478472380"/>
      <w:bookmarkStart w:id="25" w:name="_Toc517698348"/>
      <w:r>
        <w:rPr>
          <w:rFonts w:hint="eastAsia"/>
        </w:rPr>
        <w:t>环境条件</w:t>
      </w:r>
      <w:bookmarkEnd w:id="24"/>
      <w:bookmarkEnd w:id="25"/>
    </w:p>
    <w:p>
      <w:pPr>
        <w:pStyle w:val="5"/>
        <w:ind w:left="0" w:firstLine="0"/>
      </w:pPr>
      <w:bookmarkStart w:id="26" w:name="_Toc478472381"/>
      <w:r>
        <w:rPr>
          <w:rFonts w:hint="eastAsia"/>
        </w:rPr>
        <w:t>温度条件：10℃～35℃。</w:t>
      </w:r>
      <w:bookmarkEnd w:id="26"/>
    </w:p>
    <w:p>
      <w:pPr>
        <w:pStyle w:val="5"/>
        <w:ind w:left="0" w:firstLine="0"/>
      </w:pPr>
      <w:bookmarkStart w:id="27" w:name="_Toc478472382"/>
      <w:r>
        <w:rPr>
          <w:rFonts w:hint="eastAsia"/>
        </w:rPr>
        <w:t>相对湿度：不大于80%。</w:t>
      </w:r>
      <w:bookmarkEnd w:id="27"/>
    </w:p>
    <w:p>
      <w:pPr>
        <w:pStyle w:val="5"/>
        <w:ind w:left="0" w:firstLine="0"/>
      </w:pPr>
      <w:r>
        <w:rPr>
          <w:rFonts w:hint="eastAsia"/>
        </w:rPr>
        <w:t>大气压：86kPa～106kPa。</w:t>
      </w:r>
    </w:p>
    <w:p>
      <w:pPr>
        <w:pStyle w:val="5"/>
        <w:ind w:left="0" w:firstLine="0"/>
      </w:pPr>
      <w:bookmarkStart w:id="28" w:name="_Toc478472383"/>
      <w:r>
        <w:rPr>
          <w:rFonts w:hint="eastAsia"/>
        </w:rPr>
        <w:t>校准时，被校试验机周围应无影响校准结果的振动、电磁场或其它干扰。</w:t>
      </w:r>
      <w:bookmarkEnd w:id="28"/>
    </w:p>
    <w:p>
      <w:pPr>
        <w:pStyle w:val="4"/>
      </w:pPr>
      <w:bookmarkStart w:id="29" w:name="_Toc478472384"/>
      <w:bookmarkStart w:id="30" w:name="_Toc517698349"/>
      <w:r>
        <w:rPr>
          <w:rFonts w:hint="eastAsia"/>
        </w:rPr>
        <w:t>校准项目和标准计量器具及配套设备（见表1）</w:t>
      </w:r>
      <w:bookmarkEnd w:id="29"/>
      <w:bookmarkEnd w:id="30"/>
      <w:bookmarkStart w:id="31" w:name="_Ref478474007"/>
    </w:p>
    <w:p>
      <w:pPr>
        <w:pStyle w:val="54"/>
        <w:spacing w:before="815" w:beforeLines="250"/>
      </w:pPr>
      <w:r>
        <w:rPr>
          <w:rFonts w:hint="eastAsia"/>
        </w:rPr>
        <w:t>表</w:t>
      </w:r>
      <w:r>
        <w:fldChar w:fldCharType="begin"/>
      </w:r>
      <w:r>
        <w:instrText xml:space="preserve"> </w:instrText>
      </w:r>
      <w:r>
        <w:rPr>
          <w:rFonts w:hint="eastAsia"/>
        </w:rPr>
        <w:instrText xml:space="preserve">SEQ 表 \* ARABIC</w:instrText>
      </w:r>
      <w:r>
        <w:instrText xml:space="preserve"> </w:instrText>
      </w:r>
      <w:r>
        <w:fldChar w:fldCharType="separate"/>
      </w:r>
      <w:r>
        <w:t>1</w:t>
      </w:r>
      <w:r>
        <w:fldChar w:fldCharType="end"/>
      </w:r>
      <w:bookmarkEnd w:id="31"/>
      <w:r>
        <w:rPr>
          <w:rFonts w:hint="eastAsia"/>
        </w:rPr>
        <w:t xml:space="preserve">  </w:t>
      </w:r>
      <w:bookmarkStart w:id="32" w:name="_Ref478377324"/>
      <w:r>
        <w:rPr>
          <w:rFonts w:hint="eastAsia"/>
        </w:rPr>
        <w:t>校准</w:t>
      </w:r>
      <w:bookmarkEnd w:id="32"/>
      <w:r>
        <w:rPr>
          <w:rFonts w:hint="eastAsia"/>
        </w:rPr>
        <w:t>项目和标准计量器具及配套设备</w:t>
      </w:r>
    </w:p>
    <w:tbl>
      <w:tblPr>
        <w:tblStyle w:val="17"/>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382"/>
        <w:gridCol w:w="6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5"/>
            </w:pPr>
            <w:r>
              <w:rPr>
                <w:rFonts w:hint="eastAsia"/>
              </w:rPr>
              <w:t>序号</w:t>
            </w:r>
          </w:p>
        </w:tc>
        <w:tc>
          <w:tcPr>
            <w:tcW w:w="2382" w:type="dxa"/>
            <w:vAlign w:val="center"/>
          </w:tcPr>
          <w:p>
            <w:pPr>
              <w:pStyle w:val="55"/>
            </w:pPr>
            <w:r>
              <w:rPr>
                <w:rFonts w:hint="eastAsia"/>
              </w:rPr>
              <w:t>校准项目</w:t>
            </w:r>
          </w:p>
        </w:tc>
        <w:tc>
          <w:tcPr>
            <w:tcW w:w="6258" w:type="dxa"/>
          </w:tcPr>
          <w:p>
            <w:pPr>
              <w:pStyle w:val="55"/>
            </w:pPr>
            <w:r>
              <w:rPr>
                <w:rFonts w:hint="eastAsia"/>
              </w:rPr>
              <w:t>标准计量器具及配套设备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704" w:type="dxa"/>
            <w:vMerge w:val="restart"/>
            <w:vAlign w:val="center"/>
          </w:tcPr>
          <w:p>
            <w:pPr>
              <w:pStyle w:val="55"/>
            </w:pPr>
            <w:r>
              <w:rPr>
                <w:rFonts w:hint="eastAsia"/>
              </w:rPr>
              <w:t>1</w:t>
            </w:r>
          </w:p>
        </w:tc>
        <w:tc>
          <w:tcPr>
            <w:tcW w:w="2382" w:type="dxa"/>
            <w:vMerge w:val="restart"/>
            <w:vAlign w:val="center"/>
          </w:tcPr>
          <w:p>
            <w:pPr>
              <w:pStyle w:val="55"/>
            </w:pPr>
            <w:r>
              <w:rPr>
                <w:rFonts w:hint="eastAsia"/>
              </w:rPr>
              <w:t>旋转扭矩示值误差</w:t>
            </w:r>
          </w:p>
        </w:tc>
        <w:tc>
          <w:tcPr>
            <w:tcW w:w="6258" w:type="dxa"/>
          </w:tcPr>
          <w:p>
            <w:pPr>
              <w:pStyle w:val="55"/>
            </w:pPr>
            <w:r>
              <w:rPr>
                <w:rFonts w:hint="eastAsia"/>
              </w:rPr>
              <w:t>标准扭矩测量仪表，准确度等级：0.3级。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704" w:type="dxa"/>
            <w:vMerge w:val="continue"/>
            <w:vAlign w:val="center"/>
          </w:tcPr>
          <w:p>
            <w:pPr>
              <w:pStyle w:val="55"/>
            </w:pPr>
          </w:p>
        </w:tc>
        <w:tc>
          <w:tcPr>
            <w:tcW w:w="2382" w:type="dxa"/>
            <w:vMerge w:val="continue"/>
            <w:vAlign w:val="center"/>
          </w:tcPr>
          <w:p>
            <w:pPr>
              <w:pStyle w:val="55"/>
            </w:pPr>
          </w:p>
        </w:tc>
        <w:tc>
          <w:tcPr>
            <w:tcW w:w="6258" w:type="dxa"/>
          </w:tcPr>
          <w:p>
            <w:pPr>
              <w:pStyle w:val="55"/>
            </w:pPr>
            <w:r>
              <w:rPr>
                <w:rFonts w:hint="eastAsia"/>
              </w:rPr>
              <w:t>扭矩调节装置或扭矩控制装置：</w:t>
            </w:r>
          </w:p>
          <w:p>
            <w:pPr>
              <w:pStyle w:val="55"/>
            </w:pPr>
            <w:r>
              <w:rPr>
                <w:rFonts w:hint="eastAsia"/>
              </w:rPr>
              <w:t>有动力型（如扭矩液压马达）、无动力型（如刹车装置）。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5"/>
            </w:pPr>
            <w:r>
              <w:rPr>
                <w:rFonts w:hint="eastAsia"/>
              </w:rPr>
              <w:t>2</w:t>
            </w:r>
          </w:p>
        </w:tc>
        <w:tc>
          <w:tcPr>
            <w:tcW w:w="2382" w:type="dxa"/>
            <w:vAlign w:val="center"/>
          </w:tcPr>
          <w:p>
            <w:pPr>
              <w:pStyle w:val="55"/>
            </w:pPr>
            <w:r>
              <w:rPr>
                <w:rFonts w:hint="eastAsia"/>
              </w:rPr>
              <w:t>旋转角度示值误差</w:t>
            </w:r>
          </w:p>
        </w:tc>
        <w:tc>
          <w:tcPr>
            <w:tcW w:w="6258" w:type="dxa"/>
            <w:vMerge w:val="restart"/>
            <w:vAlign w:val="center"/>
          </w:tcPr>
          <w:p>
            <w:pPr>
              <w:pStyle w:val="55"/>
            </w:pPr>
            <w:r>
              <w:rPr>
                <w:rFonts w:hint="eastAsia"/>
              </w:rPr>
              <w:t>标准角度测量仪表或角位移传感器，MPE：±0.1°。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5"/>
            </w:pPr>
            <w:r>
              <w:rPr>
                <w:rFonts w:hint="eastAsia"/>
              </w:rPr>
              <w:t>3</w:t>
            </w:r>
          </w:p>
        </w:tc>
        <w:tc>
          <w:tcPr>
            <w:tcW w:w="2382" w:type="dxa"/>
            <w:vAlign w:val="center"/>
          </w:tcPr>
          <w:p>
            <w:pPr>
              <w:pStyle w:val="55"/>
            </w:pPr>
            <w:r>
              <w:rPr>
                <w:rFonts w:hint="eastAsia"/>
              </w:rPr>
              <w:t>旋转角度示值稳定性</w:t>
            </w:r>
          </w:p>
        </w:tc>
        <w:tc>
          <w:tcPr>
            <w:tcW w:w="6258" w:type="dxa"/>
            <w:vMerge w:val="continue"/>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5"/>
            </w:pPr>
            <w:r>
              <w:rPr>
                <w:rFonts w:hint="eastAsia"/>
              </w:rPr>
              <w:t>4</w:t>
            </w:r>
          </w:p>
        </w:tc>
        <w:tc>
          <w:tcPr>
            <w:tcW w:w="2382" w:type="dxa"/>
            <w:vAlign w:val="center"/>
          </w:tcPr>
          <w:p>
            <w:pPr>
              <w:pStyle w:val="55"/>
            </w:pPr>
            <w:r>
              <w:rPr>
                <w:rFonts w:hint="eastAsia"/>
              </w:rPr>
              <w:t>循环次数计数示值误差</w:t>
            </w:r>
          </w:p>
        </w:tc>
        <w:tc>
          <w:tcPr>
            <w:tcW w:w="6258" w:type="dxa"/>
          </w:tcPr>
          <w:p>
            <w:pPr>
              <w:pStyle w:val="55"/>
            </w:pPr>
            <w:r>
              <w:rPr>
                <w:rFonts w:hint="eastAsia"/>
              </w:rPr>
              <w:t>标准转速表或计数器，MPE：±0.1%。</w:t>
            </w:r>
          </w:p>
        </w:tc>
      </w:tr>
    </w:tbl>
    <w:p>
      <w:pPr>
        <w:pStyle w:val="2"/>
      </w:pPr>
      <w:bookmarkStart w:id="33" w:name="_Toc517698350"/>
      <w:bookmarkStart w:id="34" w:name="_Toc478472385"/>
      <w:r>
        <w:rPr>
          <w:rFonts w:hint="eastAsia"/>
        </w:rPr>
        <w:t>校准方法</w:t>
      </w:r>
      <w:bookmarkEnd w:id="33"/>
      <w:bookmarkEnd w:id="34"/>
    </w:p>
    <w:p>
      <w:pPr>
        <w:pStyle w:val="4"/>
      </w:pPr>
      <w:bookmarkStart w:id="35" w:name="_Toc517698351"/>
      <w:r>
        <w:rPr>
          <w:rFonts w:hint="eastAsia"/>
        </w:rPr>
        <w:t>概述</w:t>
      </w:r>
      <w:bookmarkEnd w:id="35"/>
    </w:p>
    <w:p>
      <w:r>
        <w:rPr>
          <w:rFonts w:hint="eastAsia"/>
          <w:color w:val="000000" w:themeColor="text1"/>
          <w14:textFill>
            <w14:solidFill>
              <w14:schemeClr w14:val="tx1"/>
            </w14:solidFill>
          </w14:textFill>
        </w:rPr>
        <w:t>校准前应</w:t>
      </w:r>
      <w:r>
        <w:rPr>
          <w:rFonts w:hint="eastAsia"/>
        </w:rPr>
        <w:t>检查试验机的</w:t>
      </w:r>
      <w:r>
        <w:rPr>
          <w:rFonts w:hint="eastAsia"/>
          <w:color w:val="000000" w:themeColor="text1"/>
          <w14:textFill>
            <w14:solidFill>
              <w14:schemeClr w14:val="tx1"/>
            </w14:solidFill>
          </w14:textFill>
        </w:rPr>
        <w:t>旋转固定端与固定装夹平台应无目视可见明显偏斜（图1中的4和6部分，图2中的3和5部分）</w:t>
      </w:r>
      <w:r>
        <w:rPr>
          <w:rFonts w:hint="eastAsia"/>
        </w:rPr>
        <w:t>，确认无其他影响校准计量特性的因素后，再进行校准。</w:t>
      </w:r>
    </w:p>
    <w:p>
      <w:pPr>
        <w:pStyle w:val="4"/>
      </w:pPr>
      <w:bookmarkStart w:id="36" w:name="_Toc517698352"/>
      <w:r>
        <w:rPr>
          <w:rFonts w:hint="eastAsia"/>
        </w:rPr>
        <w:t>旋转扭矩示值误差</w:t>
      </w:r>
      <w:bookmarkEnd w:id="36"/>
    </w:p>
    <w:p>
      <w:pPr>
        <w:pStyle w:val="5"/>
        <w:ind w:left="0" w:firstLine="0"/>
      </w:pPr>
      <w:r>
        <w:rPr>
          <w:rFonts w:hint="eastAsia"/>
        </w:rPr>
        <w:t>概述</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将标准扭矩测量仪表与扭矩发生装置或扭矩控制装置（分为有动力型和无动力型）组合后与试验机连接（见图3中a和b，图4中a和b），并保证它们的同轴性；在包括试验机扭矩测量上、下限的全量程范围内选择均匀分布的5个校准点，进行一次从试验机扭矩测量下限开始到上限的一次升程校准。</w:t>
      </w:r>
    </w:p>
    <w:p>
      <w:pPr>
        <w:spacing w:line="360" w:lineRule="auto"/>
        <w:jc w:val="center"/>
      </w:pPr>
      <w:r>
        <w:drawing>
          <wp:inline distT="0" distB="0" distL="0" distR="0">
            <wp:extent cx="3576955" cy="3059430"/>
            <wp:effectExtent l="0" t="0" r="4445" b="7620"/>
            <wp:docPr id="9" name="图片 9" descr="I:\2018.3.21开始-旋转试验机校准规范制定\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2018.3.21开始-旋转试验机校准规范制定\图3.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577342" cy="3060000"/>
                    </a:xfrm>
                    <a:prstGeom prst="rect">
                      <a:avLst/>
                    </a:prstGeom>
                    <a:noFill/>
                    <a:ln>
                      <a:noFill/>
                    </a:ln>
                  </pic:spPr>
                </pic:pic>
              </a:graphicData>
            </a:graphic>
          </wp:inline>
        </w:drawing>
      </w:r>
    </w:p>
    <w:p>
      <w:pPr>
        <w:spacing w:line="360" w:lineRule="auto"/>
        <w:jc w:val="center"/>
      </w:pPr>
      <w:r>
        <w:rPr>
          <w:rFonts w:hint="eastAsia"/>
        </w:rPr>
        <w:t>图3 上旋转驱动型校准安装示意图</w:t>
      </w:r>
    </w:p>
    <w:p>
      <w:pPr>
        <w:spacing w:line="360" w:lineRule="auto"/>
        <w:jc w:val="center"/>
      </w:pPr>
      <w:r>
        <w:drawing>
          <wp:inline distT="0" distB="0" distL="0" distR="0">
            <wp:extent cx="3881120" cy="3059430"/>
            <wp:effectExtent l="0" t="0" r="5080" b="7620"/>
            <wp:docPr id="25" name="图片 25" descr="I:\2018.3.21开始-旋转试验机校准规范制定\图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I:\2018.3.21开始-旋转试验机校准规范制定\图4.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881151" cy="3060000"/>
                    </a:xfrm>
                    <a:prstGeom prst="rect">
                      <a:avLst/>
                    </a:prstGeom>
                    <a:noFill/>
                    <a:ln>
                      <a:noFill/>
                    </a:ln>
                  </pic:spPr>
                </pic:pic>
              </a:graphicData>
            </a:graphic>
          </wp:inline>
        </w:drawing>
      </w:r>
    </w:p>
    <w:p>
      <w:pPr>
        <w:spacing w:line="360" w:lineRule="auto"/>
        <w:jc w:val="center"/>
      </w:pPr>
      <w:r>
        <w:rPr>
          <w:rFonts w:hint="eastAsia"/>
        </w:rPr>
        <w:t>图4 下旋转驱动型校准安装示意图</w:t>
      </w:r>
    </w:p>
    <w:p>
      <w:pPr>
        <w:pStyle w:val="5"/>
        <w:ind w:left="0" w:firstLine="0"/>
      </w:pPr>
      <w:r>
        <w:rPr>
          <w:rFonts w:hint="eastAsia"/>
        </w:rPr>
        <w:t>使用有动力型扭矩发生装置</w:t>
      </w:r>
    </w:p>
    <w:p>
      <w:r>
        <w:rPr>
          <w:rFonts w:hint="eastAsia"/>
        </w:rPr>
        <w:t>有动力型扭矩发生装置通过调节动力源输出扭矩，如扭矩液压马达等。试验机在非旋转状态下，调节有动力型扭矩发生装置至目标校准点，记录试验机扭矩示值和标准扭矩测量仪表示值，两者之差即为该校准点旋转扭矩示值误差，所有校准点中旋转扭矩示值误差最大值作为旋转扭矩示值误差校准结果。</w:t>
      </w:r>
    </w:p>
    <w:p>
      <w:pPr>
        <w:pStyle w:val="5"/>
        <w:ind w:left="0" w:firstLine="0"/>
      </w:pPr>
      <w:r>
        <w:rPr>
          <w:rFonts w:hint="eastAsia"/>
        </w:rPr>
        <w:t>使用无动力型扭矩发生装置</w:t>
      </w:r>
    </w:p>
    <w:p>
      <w:r>
        <w:rPr>
          <w:rFonts w:hint="eastAsia"/>
        </w:rPr>
        <w:t>无动力型扭矩发生装置利用阻尼原理产生的摩擦力对试验机输出扭矩，如刹车装置等。试验机在旋转状态下，调节无动力型扭矩发生装置至目标校准点，记录试验机扭矩示值和标准扭矩测量仪表示值，两者之差即为该校准点旋转扭矩示值误差；所有校准点中旋转扭矩示值误差最大值作为旋转扭矩示值误差校准结果。</w:t>
      </w:r>
    </w:p>
    <w:p>
      <w:pPr>
        <w:pStyle w:val="4"/>
      </w:pPr>
      <w:bookmarkStart w:id="37" w:name="_Toc517698353"/>
      <w:r>
        <w:rPr>
          <w:rFonts w:hint="eastAsia"/>
        </w:rPr>
        <w:t>旋转角度示值误差</w:t>
      </w:r>
      <w:bookmarkEnd w:id="37"/>
    </w:p>
    <w:p>
      <w:r>
        <w:rPr>
          <w:rFonts w:hint="eastAsia"/>
        </w:rPr>
        <w:t>校准时可在非加载扭矩状态下进行。对于具有持续旋转功能的试验机，每60°选取一个校准点，一周共6个校准点；对于具有往复旋转功能的试验机，在试验机旋转角度控制范围内选择均匀分布的5个角度作为校准点，并应在正反两个旋转方向分别进行校准，校准时连续从前一个校准点旋转至下一个校准点。</w:t>
      </w:r>
    </w:p>
    <w:p>
      <w:pPr>
        <w:rPr>
          <w:color w:val="FF0000"/>
        </w:rPr>
      </w:pPr>
      <w:r>
        <w:rPr>
          <w:rFonts w:hint="eastAsia"/>
        </w:rPr>
        <w:t>校准前，连接标准角度测量仪表（或角位移传感器），将试验机的角度示值和标准角度测量仪表（或角位移传感器）的示值清零，当试验机旋转至设定校准点并自动停机时，记录标准角度测量仪表（或角位移传感器）示值，记录试验机的角度示值，两示值之差为该校准点旋转角度示值误差；所有校准点中旋转角度示值误差最大值作为旋转角度示值误差校准结果。</w:t>
      </w:r>
    </w:p>
    <w:p>
      <w:pPr>
        <w:pStyle w:val="4"/>
      </w:pPr>
      <w:bookmarkStart w:id="38" w:name="_Toc478472388"/>
      <w:bookmarkStart w:id="39" w:name="_Toc517698354"/>
      <w:r>
        <w:rPr>
          <w:rFonts w:hint="eastAsia"/>
        </w:rPr>
        <w:t>旋转角度示值稳定性</w:t>
      </w:r>
      <w:bookmarkEnd w:id="38"/>
      <w:r>
        <w:rPr>
          <w:rFonts w:hint="eastAsia"/>
        </w:rPr>
        <w:t>（适用于具有往复旋转功能的试验机）</w:t>
      </w:r>
      <w:bookmarkEnd w:id="39"/>
    </w:p>
    <w:p>
      <w:r>
        <w:rPr>
          <w:rFonts w:hint="eastAsia"/>
        </w:rPr>
        <w:t>按照6.3校准方法，对于具有往复旋转功能试验机，选取旋转角度满量程的50%作为往复循环试验条件，将标准角度测量仪表（或角位移传感器）与试验机连接后清零，开始试验，往复循环次数不小于100次。设定试验机为当达到设定的循环次数后运行至试验条件位置自动停止旋转，记录此时标准角度测量仪表（或角位移传感器）示值，与初始设定角度值之差作为旋转角度稳定性校准结果。</w:t>
      </w:r>
    </w:p>
    <w:p>
      <w:pPr>
        <w:pStyle w:val="4"/>
      </w:pPr>
      <w:bookmarkStart w:id="40" w:name="_Toc517698355"/>
      <w:r>
        <w:rPr>
          <w:rFonts w:hint="eastAsia"/>
        </w:rPr>
        <w:t>循环次数计数示值误差</w:t>
      </w:r>
      <w:bookmarkEnd w:id="40"/>
    </w:p>
    <w:p>
      <w:r>
        <w:rPr>
          <w:rFonts w:hint="eastAsia"/>
        </w:rPr>
        <w:t>对于具有往复旋转功能的试验机，选取单向旋转角度满量程的10%作为往复循环试验条件，往复循环次数不小于1000次；对于具有持续旋转功能的试验机，在试验机达到最高转速90%的试验条件下进行循环周次不小于3000次的循环试验。</w:t>
      </w:r>
    </w:p>
    <w:p>
      <w:r>
        <w:rPr>
          <w:rFonts w:hint="eastAsia"/>
        </w:rPr>
        <w:t>用标准转速表（或计数器），对试验机循环计数器的计数误差进行测试。当试验机达到设定的循环次数并自动停止旋转时，分别读取试验机显示的循环次数计数和标准转速表（或计数器）的循环次数计数，读数之差作为循环次数计数示值误差校准结果。</w:t>
      </w:r>
    </w:p>
    <w:p>
      <w:pPr>
        <w:pStyle w:val="2"/>
      </w:pPr>
      <w:bookmarkStart w:id="41" w:name="_Toc478472394"/>
      <w:bookmarkStart w:id="42" w:name="_Toc517698356"/>
      <w:r>
        <w:rPr>
          <w:rFonts w:hint="eastAsia"/>
        </w:rPr>
        <w:t>校准结果表达</w:t>
      </w:r>
      <w:bookmarkEnd w:id="41"/>
      <w:bookmarkEnd w:id="42"/>
    </w:p>
    <w:p>
      <w:r>
        <w:rPr>
          <w:rFonts w:hint="eastAsia"/>
        </w:rPr>
        <w:t>经过校准的试验机出具校准证书，校准证书内页信息及格式见附录。</w:t>
      </w:r>
    </w:p>
    <w:p>
      <w:pPr>
        <w:pStyle w:val="2"/>
      </w:pPr>
      <w:bookmarkStart w:id="43" w:name="_Toc517698357"/>
      <w:bookmarkStart w:id="44" w:name="_Toc478472395"/>
      <w:r>
        <w:rPr>
          <w:rFonts w:hint="eastAsia"/>
        </w:rPr>
        <w:t>复校时间间隔</w:t>
      </w:r>
      <w:bookmarkEnd w:id="43"/>
      <w:bookmarkEnd w:id="44"/>
    </w:p>
    <w:p>
      <w:pPr>
        <w:pStyle w:val="3"/>
        <w:ind w:firstLine="480"/>
      </w:pPr>
      <w:r>
        <w:rPr>
          <w:rFonts w:hint="eastAsia"/>
        </w:rPr>
        <w:t>由于复校时间间隔的长短是由试验机的使用频率、保养情况以及使用者等因素所决定，送校单位可根据实际使用情况自主决定复校时间间隔，一般不超过1年。</w:t>
      </w:r>
    </w:p>
    <w:p/>
    <w:p>
      <w:pPr>
        <w:sectPr>
          <w:footerReference r:id="rId14" w:type="default"/>
          <w:footerReference r:id="rId15" w:type="even"/>
          <w:pgSz w:w="11906" w:h="16838"/>
          <w:pgMar w:top="1588" w:right="1134" w:bottom="1361" w:left="1418" w:header="1134" w:footer="567" w:gutter="0"/>
          <w:pgNumType w:start="1"/>
          <w:cols w:space="425" w:num="1"/>
          <w:docGrid w:type="lines" w:linePitch="326" w:charSpace="0"/>
        </w:sectPr>
      </w:pPr>
    </w:p>
    <w:p>
      <w:pPr>
        <w:pStyle w:val="59"/>
        <w:spacing w:before="326" w:after="326"/>
      </w:pPr>
      <w:r>
        <w:t xml:space="preserve"> </w:t>
      </w:r>
      <w:r>
        <w:rPr>
          <w:rFonts w:hint="eastAsia"/>
        </w:rPr>
        <w:t xml:space="preserve"> </w:t>
      </w:r>
      <w:bookmarkStart w:id="45" w:name="_Toc517698358"/>
      <w:bookmarkStart w:id="46" w:name="_Toc478472396"/>
      <w:r>
        <w:rPr>
          <w:rFonts w:hint="eastAsia"/>
          <w:color w:val="FFFFFF" w:themeColor="background1"/>
          <w14:textFill>
            <w14:solidFill>
              <w14:schemeClr w14:val="bg1"/>
            </w14:solidFill>
          </w14:textFill>
        </w:rPr>
        <w:t>渗透检验参考试块裂纹宽度校准结果的测量不确定度评定</w:t>
      </w:r>
      <w:bookmarkEnd w:id="45"/>
      <w:bookmarkEnd w:id="46"/>
    </w:p>
    <w:p>
      <w:pPr>
        <w:pStyle w:val="60"/>
        <w:spacing w:before="326" w:beforeLines="100" w:after="326" w:afterLines="100"/>
      </w:pPr>
      <w:r>
        <w:rPr>
          <w:rFonts w:hint="eastAsia"/>
        </w:rPr>
        <w:t>旋转扭矩示值误差校准结果的测量不确定度评定</w:t>
      </w:r>
    </w:p>
    <w:p>
      <w:pPr>
        <w:numPr>
          <w:ilvl w:val="1"/>
          <w:numId w:val="2"/>
        </w:numPr>
        <w:ind w:left="426" w:firstLineChars="0"/>
        <w:rPr>
          <w:rFonts w:cs="Times New Roman"/>
        </w:rPr>
      </w:pPr>
      <w:r>
        <w:rPr>
          <w:rFonts w:hint="eastAsia" w:cs="Times New Roman"/>
        </w:rPr>
        <w:t>测量方法</w:t>
      </w:r>
    </w:p>
    <w:p>
      <w:pPr>
        <w:rPr>
          <w:rFonts w:cs="Times New Roman"/>
        </w:rPr>
      </w:pPr>
      <w:r>
        <w:rPr>
          <w:rFonts w:hint="eastAsia" w:cs="Times New Roman"/>
        </w:rPr>
        <w:t>将标准扭矩测量仪表与扭矩发生装置或扭矩控制装置组合后与试验机连接；调节扭矩发生装置或扭矩控制装置至最小扭矩状态，启动试验机，开始旋转试验；逐步提高扭矩发生装置或扭矩控制装置的扭矩至校准点，当试验机转动平稳，标准扭矩传感器与试验机扭矩示值输出稳定时，记录试验机扭矩示值与标准扭矩测量仪表示值之差，即为该校准点旋转扭矩示值误差。</w:t>
      </w:r>
    </w:p>
    <w:p>
      <w:pPr>
        <w:numPr>
          <w:ilvl w:val="1"/>
          <w:numId w:val="2"/>
        </w:numPr>
        <w:ind w:left="426" w:firstLineChars="0"/>
        <w:rPr>
          <w:rFonts w:cs="Times New Roman"/>
        </w:rPr>
      </w:pPr>
      <w:r>
        <w:rPr>
          <w:rFonts w:hint="eastAsia" w:cs="Times New Roman"/>
        </w:rPr>
        <w:t>测量模型</w:t>
      </w:r>
    </w:p>
    <w:p>
      <w:pPr>
        <w:rPr>
          <w:rFonts w:cs="Times New Roman"/>
        </w:rPr>
      </w:pPr>
      <w:r>
        <w:rPr>
          <w:rFonts w:hint="eastAsia" w:cs="Times New Roman"/>
        </w:rPr>
        <w:t>由测量方法可得到测量模型为：</w:t>
      </w:r>
    </w:p>
    <w:p>
      <w:pPr>
        <w:ind w:firstLine="0" w:firstLineChars="0"/>
        <w:jc w:val="right"/>
        <w:rPr>
          <w:rFonts w:cs="Times New Roman"/>
        </w:rPr>
      </w:pPr>
      <m:oMath>
        <m:r>
          <w:rPr>
            <w:rFonts w:ascii="Cambria Math" w:hAnsi="Cambria Math" w:cs="Times New Roman"/>
          </w:rPr>
          <m:t>∆=M-M'</m:t>
        </m:r>
      </m:oMath>
      <w:r>
        <w:rPr>
          <w:rFonts w:cs="Times New Roman"/>
        </w:rPr>
        <w:t xml:space="preserve">                                 (A.1)</w:t>
      </w:r>
    </w:p>
    <w:p>
      <w:pPr>
        <w:rPr>
          <w:rFonts w:cs="Times New Roman"/>
        </w:rPr>
      </w:pPr>
      <w:r>
        <w:rPr>
          <w:rFonts w:hint="eastAsia" w:cs="Times New Roman"/>
        </w:rPr>
        <w:t>式中：</w:t>
      </w:r>
    </w:p>
    <w:p>
      <w:pPr>
        <w:rPr>
          <w:rFonts w:cs="Times New Roman"/>
        </w:rPr>
      </w:pPr>
      <m:oMath>
        <m:r>
          <m:rPr>
            <m:sty m:val="p"/>
          </m:rPr>
          <w:rPr>
            <w:rFonts w:ascii="Cambria Math" w:hAnsi="Cambria Math" w:cs="Times New Roman"/>
          </w:rPr>
          <m:t>∆</m:t>
        </m:r>
      </m:oMath>
      <w:r>
        <w:rPr>
          <w:rFonts w:hint="eastAsia" w:cs="Times New Roman"/>
        </w:rPr>
        <w:t>——校准点的旋转扭矩示值误差，</w:t>
      </w:r>
      <w:r>
        <w:rPr>
          <w:rFonts w:cs="Times New Roman"/>
        </w:rPr>
        <w:t>N•m</w:t>
      </w:r>
      <w:r>
        <w:rPr>
          <w:rFonts w:hint="eastAsia" w:cs="Times New Roman"/>
        </w:rPr>
        <w:t>；</w:t>
      </w:r>
    </w:p>
    <w:p>
      <w:pPr>
        <w:rPr>
          <w:rFonts w:cs="Times New Roman"/>
        </w:rPr>
      </w:pPr>
      <m:oMath>
        <m:r>
          <w:rPr>
            <w:rFonts w:ascii="Cambria Math" w:hAnsi="Cambria Math" w:cs="Times New Roman"/>
          </w:rPr>
          <m:t>M</m:t>
        </m:r>
      </m:oMath>
      <w:r>
        <w:rPr>
          <w:rFonts w:hint="eastAsia" w:cs="Times New Roman"/>
        </w:rPr>
        <w:t>——校准点的试验机旋转扭矩示值，</w:t>
      </w:r>
      <w:r>
        <w:rPr>
          <w:rFonts w:cs="Times New Roman"/>
        </w:rPr>
        <w:t>N•m</w:t>
      </w:r>
      <w:r>
        <w:rPr>
          <w:rFonts w:hint="eastAsia" w:cs="Times New Roman"/>
        </w:rPr>
        <w:t>；</w:t>
      </w:r>
    </w:p>
    <w:p>
      <w:pPr>
        <w:rPr>
          <w:rFonts w:cs="Times New Roman"/>
        </w:rPr>
      </w:pPr>
      <m:oMath>
        <m:r>
          <w:rPr>
            <w:rFonts w:ascii="Cambria Math" w:hAnsi="Cambria Math" w:cs="Times New Roman"/>
          </w:rPr>
          <m:t>M'</m:t>
        </m:r>
      </m:oMath>
      <w:r>
        <w:rPr>
          <w:rFonts w:hint="eastAsia" w:cs="Times New Roman"/>
        </w:rPr>
        <w:t>——校准点的标准扭矩测量仪表扭矩示值，</w:t>
      </w:r>
      <w:r>
        <w:rPr>
          <w:rFonts w:cs="Times New Roman"/>
        </w:rPr>
        <w:t>N•m</w:t>
      </w:r>
      <w:r>
        <w:rPr>
          <w:rFonts w:hint="eastAsia" w:cs="Times New Roman"/>
        </w:rPr>
        <w:t>。</w:t>
      </w:r>
    </w:p>
    <w:p>
      <w:pPr>
        <w:numPr>
          <w:ilvl w:val="1"/>
          <w:numId w:val="2"/>
        </w:numPr>
        <w:ind w:left="426" w:firstLineChars="0"/>
        <w:rPr>
          <w:rFonts w:cs="Times New Roman"/>
        </w:rPr>
      </w:pPr>
      <w:r>
        <w:rPr>
          <w:rFonts w:hint="eastAsia" w:cs="Times New Roman"/>
        </w:rPr>
        <w:t>测量不确定度来源分析</w:t>
      </w:r>
    </w:p>
    <w:p>
      <w:pPr>
        <w:rPr>
          <w:rFonts w:cs="Times New Roman"/>
        </w:rPr>
      </w:pPr>
      <w:r>
        <w:rPr>
          <w:rFonts w:hint="eastAsia" w:cs="Times New Roman"/>
        </w:rPr>
        <w:t>根据测量方法可知，旋转扭矩示值误差测量结果的不确定度来源主要有由于标准扭矩测量仪表示值误差引入的不确定度分量和测量重复性引入的不确定度分量。</w:t>
      </w:r>
    </w:p>
    <w:p>
      <w:pPr>
        <w:numPr>
          <w:ilvl w:val="1"/>
          <w:numId w:val="2"/>
        </w:numPr>
        <w:ind w:left="426" w:firstLineChars="0"/>
        <w:rPr>
          <w:rFonts w:cs="Times New Roman"/>
        </w:rPr>
      </w:pPr>
      <w:r>
        <w:rPr>
          <w:rFonts w:hint="eastAsia" w:cs="Times New Roman"/>
        </w:rPr>
        <w:t>不确定度传播率</w:t>
      </w:r>
    </w:p>
    <w:p>
      <w:pPr>
        <w:rPr>
          <w:rFonts w:cs="Times New Roman"/>
        </w:rPr>
      </w:pPr>
      <w:r>
        <w:rPr>
          <w:rFonts w:hint="eastAsia" w:cs="Times New Roman"/>
        </w:rPr>
        <w:t>根据测量模型和不确定度来源分析，可得合成标准不确定度</w:t>
      </w: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c</m:t>
            </m:r>
            <m:ctrlPr>
              <w:rPr>
                <w:rFonts w:ascii="Cambria Math" w:hAnsi="Cambria Math" w:cs="Times New Roman"/>
                <w:i/>
              </w:rPr>
            </m:ctrlPr>
          </m:sub>
        </m:sSub>
      </m:oMath>
      <w:r>
        <w:rPr>
          <w:rFonts w:hint="eastAsia" w:cs="Times New Roman"/>
        </w:rPr>
        <w:t>的传播率表达式为：</w:t>
      </w:r>
    </w:p>
    <w:p>
      <w:pPr>
        <w:spacing w:line="240" w:lineRule="auto"/>
        <w:ind w:firstLine="0" w:firstLineChars="0"/>
        <w:jc w:val="right"/>
        <w:rPr>
          <w:rFonts w:cs="Times New Roman"/>
        </w:rPr>
      </w:pP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c</m:t>
            </m:r>
            <m:ctrlPr>
              <w:rPr>
                <w:rFonts w:ascii="Cambria Math" w:hAnsi="Cambria Math" w:cs="Times New Roman"/>
                <w:i/>
              </w:rPr>
            </m:ctrlPr>
          </m:sub>
        </m:sSub>
        <m:r>
          <w:rPr>
            <w:rFonts w:ascii="Cambria Math" w:hAnsi="Cambria Math" w:cs="Times New Roman"/>
          </w:rPr>
          <m:t>=</m:t>
        </m:r>
        <m:rad>
          <m:radPr>
            <m:degHide m:val="1"/>
            <m:ctrlPr>
              <w:rPr>
                <w:rFonts w:ascii="Cambria Math" w:hAnsi="Cambria Math" w:cs="Times New Roman"/>
                <w:i/>
              </w:rPr>
            </m:ctrlPr>
          </m:radPr>
          <m:deg>
            <m:ctrlPr>
              <w:rPr>
                <w:rFonts w:ascii="Cambria Math" w:hAnsi="Cambria Math" w:cs="Times New Roman"/>
                <w:i/>
              </w:rPr>
            </m:ctrlPr>
          </m:deg>
          <m:e>
            <m:sSubSup>
              <m:sSubSupPr>
                <m:ctrlPr>
                  <w:rPr>
                    <w:rFonts w:ascii="Cambria Math" w:hAnsi="Cambria Math" w:cs="Times New Roman"/>
                    <w:i/>
                  </w:rPr>
                </m:ctrlPr>
              </m:sSubSupPr>
              <m:e>
                <m:r>
                  <w:rPr>
                    <w:rFonts w:ascii="Cambria Math" w:hAnsi="Cambria Math" w:cs="Times New Roman"/>
                  </w:rPr>
                  <m:t>u</m:t>
                </m:r>
                <m:ctrlPr>
                  <w:rPr>
                    <w:rFonts w:ascii="Cambria Math" w:hAnsi="Cambria Math" w:cs="Times New Roman"/>
                    <w:i/>
                  </w:rPr>
                </m:ctrlPr>
              </m:e>
              <m:sub>
                <m:r>
                  <w:rPr>
                    <w:rFonts w:ascii="Cambria Math" w:hAnsi="Cambria Math" w:cs="Times New Roman"/>
                  </w:rPr>
                  <m:t>1</m:t>
                </m:r>
                <m:ctrlPr>
                  <w:rPr>
                    <w:rFonts w:ascii="Cambria Math" w:hAnsi="Cambria Math" w:cs="Times New Roman"/>
                    <w:i/>
                  </w:rPr>
                </m:ctrlPr>
              </m:sub>
              <m:sup>
                <m:r>
                  <w:rPr>
                    <w:rFonts w:ascii="Cambria Math" w:hAnsi="Cambria Math" w:cs="Times New Roman"/>
                  </w:rPr>
                  <m:t>2</m:t>
                </m:r>
                <m:ctrlPr>
                  <w:rPr>
                    <w:rFonts w:ascii="Cambria Math" w:hAnsi="Cambria Math" w:cs="Times New Roman"/>
                    <w:i/>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u</m:t>
                </m:r>
                <m:ctrlPr>
                  <w:rPr>
                    <w:rFonts w:ascii="Cambria Math" w:hAnsi="Cambria Math" w:cs="Times New Roman"/>
                    <w:i/>
                  </w:rPr>
                </m:ctrlPr>
              </m:e>
              <m:sub>
                <m:r>
                  <w:rPr>
                    <w:rFonts w:ascii="Cambria Math" w:hAnsi="Cambria Math" w:cs="Times New Roman"/>
                  </w:rPr>
                  <m:t>2</m:t>
                </m:r>
                <m:ctrlPr>
                  <w:rPr>
                    <w:rFonts w:ascii="Cambria Math" w:hAnsi="Cambria Math" w:cs="Times New Roman"/>
                    <w:i/>
                  </w:rPr>
                </m:ctrlPr>
              </m:sub>
              <m:sup>
                <m:r>
                  <w:rPr>
                    <w:rFonts w:ascii="Cambria Math" w:hAnsi="Cambria Math" w:cs="Times New Roman"/>
                  </w:rPr>
                  <m:t>2</m:t>
                </m:r>
                <m:ctrlPr>
                  <w:rPr>
                    <w:rFonts w:ascii="Cambria Math" w:hAnsi="Cambria Math" w:cs="Times New Roman"/>
                    <w:i/>
                  </w:rPr>
                </m:ctrlPr>
              </m:sup>
            </m:sSubSup>
            <m:ctrlPr>
              <w:rPr>
                <w:rFonts w:ascii="Cambria Math" w:hAnsi="Cambria Math" w:cs="Times New Roman"/>
                <w:i/>
              </w:rPr>
            </m:ctrlPr>
          </m:e>
        </m:rad>
      </m:oMath>
      <w:r>
        <w:rPr>
          <w:rFonts w:hint="eastAsia" w:cs="Times New Roman"/>
          <w:i/>
        </w:rPr>
        <w:t xml:space="preserve"> </w:t>
      </w:r>
      <w:r>
        <w:rPr>
          <w:rFonts w:cs="Times New Roman"/>
        </w:rPr>
        <w:t xml:space="preserve">                             (A.2)</w:t>
      </w:r>
    </w:p>
    <w:p>
      <w:pPr>
        <w:rPr>
          <w:rFonts w:cs="Times New Roman"/>
        </w:rPr>
      </w:pPr>
      <w:r>
        <w:rPr>
          <w:rFonts w:hint="eastAsia" w:cs="Times New Roman"/>
        </w:rPr>
        <w:t>式中：</w:t>
      </w:r>
    </w:p>
    <w:p>
      <w:pPr>
        <w:rPr>
          <w:rFonts w:cs="Times New Roman"/>
        </w:rPr>
      </w:pP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c</m:t>
            </m:r>
            <m:ctrlPr>
              <w:rPr>
                <w:rFonts w:ascii="Cambria Math" w:hAnsi="Cambria Math" w:cs="Times New Roman"/>
                <w:i/>
              </w:rPr>
            </m:ctrlPr>
          </m:sub>
        </m:sSub>
      </m:oMath>
      <w:r>
        <w:rPr>
          <w:rFonts w:hint="eastAsia" w:cs="Times New Roman"/>
        </w:rPr>
        <w:t>——合成标准不确定度，</w:t>
      </w:r>
      <w:r>
        <w:rPr>
          <w:rFonts w:cs="Times New Roman"/>
        </w:rPr>
        <w:t>μm</w:t>
      </w:r>
      <w:r>
        <w:rPr>
          <w:rFonts w:hint="eastAsia" w:cs="Times New Roman"/>
        </w:rPr>
        <w:t>；</w:t>
      </w:r>
    </w:p>
    <w:p>
      <w:pPr>
        <w:rPr>
          <w:rFonts w:cs="Times New Roman"/>
        </w:rPr>
      </w:pP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hint="eastAsia" w:ascii="Cambria Math" w:hAnsi="Cambria Math" w:cs="Times New Roman"/>
              </w:rPr>
              <m:t>1</m:t>
            </m:r>
            <m:ctrlPr>
              <w:rPr>
                <w:rFonts w:ascii="Cambria Math" w:hAnsi="Cambria Math" w:cs="Times New Roman"/>
                <w:i/>
              </w:rPr>
            </m:ctrlPr>
          </m:sub>
        </m:sSub>
      </m:oMath>
      <w:r>
        <w:rPr>
          <w:rFonts w:hint="eastAsia" w:cs="Times New Roman"/>
        </w:rPr>
        <w:t>——由测量重复性引入的标准不确定度分量，</w:t>
      </w:r>
      <w:r>
        <w:rPr>
          <w:rFonts w:cs="Times New Roman"/>
        </w:rPr>
        <w:t>μm</w:t>
      </w:r>
      <w:r>
        <w:rPr>
          <w:rFonts w:hint="eastAsia" w:cs="Times New Roman"/>
        </w:rPr>
        <w:t>；</w:t>
      </w:r>
    </w:p>
    <w:p>
      <w:pPr>
        <w:rPr>
          <w:rFonts w:cs="Times New Roman"/>
        </w:rPr>
      </w:pP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hint="eastAsia" w:ascii="Cambria Math" w:hAnsi="Cambria Math" w:cs="Times New Roman"/>
              </w:rPr>
              <m:t>2</m:t>
            </m:r>
            <m:ctrlPr>
              <w:rPr>
                <w:rFonts w:ascii="Cambria Math" w:hAnsi="Cambria Math" w:cs="Times New Roman"/>
                <w:i/>
              </w:rPr>
            </m:ctrlPr>
          </m:sub>
        </m:sSub>
      </m:oMath>
      <w:r>
        <w:rPr>
          <w:rFonts w:hint="eastAsia" w:cs="Times New Roman"/>
        </w:rPr>
        <w:t>——由标准扭矩测试仪表示值误差引入的标准不确定度分量，</w:t>
      </w:r>
      <w:r>
        <w:rPr>
          <w:rFonts w:cs="Times New Roman"/>
        </w:rPr>
        <w:t>μm</w:t>
      </w:r>
      <w:r>
        <w:rPr>
          <w:rFonts w:hint="eastAsia" w:cs="Times New Roman"/>
        </w:rPr>
        <w:t>。</w:t>
      </w:r>
    </w:p>
    <w:p>
      <w:pPr>
        <w:numPr>
          <w:ilvl w:val="1"/>
          <w:numId w:val="2"/>
        </w:numPr>
        <w:ind w:left="426" w:firstLineChars="0"/>
        <w:rPr>
          <w:rFonts w:cs="Times New Roman"/>
        </w:rPr>
      </w:pPr>
      <w:r>
        <w:rPr>
          <w:rFonts w:hint="eastAsia" w:cs="Times New Roman"/>
        </w:rPr>
        <w:t>标准不确定度评定</w:t>
      </w:r>
    </w:p>
    <w:p>
      <w:pPr>
        <w:numPr>
          <w:ilvl w:val="2"/>
          <w:numId w:val="2"/>
        </w:numPr>
        <w:ind w:left="426" w:firstLineChars="0"/>
        <w:rPr>
          <w:rFonts w:cs="Times New Roman"/>
        </w:rPr>
      </w:pPr>
      <w:r>
        <w:rPr>
          <w:rFonts w:hint="eastAsia" w:cs="Times New Roman"/>
        </w:rPr>
        <w:t>由测量重复性引入的不确定度分量</w:t>
      </w: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hint="eastAsia" w:ascii="Cambria Math" w:hAnsi="Cambria Math" w:cs="Times New Roman"/>
              </w:rPr>
              <m:t>1</m:t>
            </m:r>
            <m:ctrlPr>
              <w:rPr>
                <w:rFonts w:ascii="Cambria Math" w:hAnsi="Cambria Math" w:cs="Times New Roman"/>
                <w:i/>
              </w:rPr>
            </m:ctrlPr>
          </m:sub>
        </m:sSub>
      </m:oMath>
    </w:p>
    <w:p>
      <w:pPr>
        <w:rPr>
          <w:rFonts w:cs="Times New Roman"/>
        </w:rPr>
      </w:pPr>
      <w:r>
        <w:rPr>
          <w:rFonts w:hint="eastAsia" w:cs="Times New Roman"/>
        </w:rPr>
        <w:t>在重复测量条件下，选取满量程为100 kN</w:t>
      </w:r>
      <w:r>
        <w:rPr>
          <w:rFonts w:cs="Times New Roman"/>
        </w:rPr>
        <w:t>•m</w:t>
      </w:r>
      <w:r>
        <w:rPr>
          <w:rFonts w:hint="eastAsia" w:cs="Times New Roman"/>
        </w:rPr>
        <w:t>的试验机的扭矩满量程的50%作为测量点，对试验机旋转扭矩示值误差进行10次重复测量，得到结果为：50.4 kN</w:t>
      </w:r>
      <w:r>
        <w:rPr>
          <w:rFonts w:cs="Times New Roman"/>
        </w:rPr>
        <w:t>•m</w:t>
      </w:r>
      <w:r>
        <w:rPr>
          <w:rFonts w:hint="eastAsia" w:cs="Times New Roman"/>
        </w:rPr>
        <w:t>、50.4 kN</w:t>
      </w:r>
      <w:r>
        <w:rPr>
          <w:rFonts w:cs="Times New Roman"/>
        </w:rPr>
        <w:t>•m</w:t>
      </w:r>
      <w:r>
        <w:rPr>
          <w:rFonts w:hint="eastAsia" w:cs="Times New Roman"/>
        </w:rPr>
        <w:t>、49.9 kN</w:t>
      </w:r>
      <w:r>
        <w:rPr>
          <w:rFonts w:cs="Times New Roman"/>
        </w:rPr>
        <w:t>•m</w:t>
      </w:r>
      <w:r>
        <w:rPr>
          <w:rFonts w:hint="eastAsia" w:cs="Times New Roman"/>
        </w:rPr>
        <w:t>、50.8 kN</w:t>
      </w:r>
      <w:r>
        <w:rPr>
          <w:rFonts w:cs="Times New Roman"/>
        </w:rPr>
        <w:t>•m</w:t>
      </w:r>
      <w:r>
        <w:rPr>
          <w:rFonts w:hint="eastAsia" w:cs="Times New Roman"/>
        </w:rPr>
        <w:t>、49.3 kN</w:t>
      </w:r>
      <w:r>
        <w:rPr>
          <w:rFonts w:cs="Times New Roman"/>
        </w:rPr>
        <w:t>•m</w:t>
      </w:r>
      <w:r>
        <w:rPr>
          <w:rFonts w:hint="eastAsia" w:cs="Times New Roman"/>
        </w:rPr>
        <w:t>、50.4 kN</w:t>
      </w:r>
      <w:r>
        <w:rPr>
          <w:rFonts w:cs="Times New Roman"/>
        </w:rPr>
        <w:t>•m</w:t>
      </w:r>
      <w:r>
        <w:rPr>
          <w:rFonts w:hint="eastAsia" w:cs="Times New Roman"/>
        </w:rPr>
        <w:t>、50.6 kN</w:t>
      </w:r>
      <w:r>
        <w:rPr>
          <w:rFonts w:cs="Times New Roman"/>
        </w:rPr>
        <w:t>•m</w:t>
      </w:r>
      <w:r>
        <w:rPr>
          <w:rFonts w:hint="eastAsia" w:cs="Times New Roman"/>
        </w:rPr>
        <w:t>、50.2 kN</w:t>
      </w:r>
      <w:r>
        <w:rPr>
          <w:rFonts w:cs="Times New Roman"/>
        </w:rPr>
        <w:t>•m</w:t>
      </w:r>
      <w:r>
        <w:rPr>
          <w:rFonts w:hint="eastAsia" w:cs="Times New Roman"/>
        </w:rPr>
        <w:t>、50.1 kN</w:t>
      </w:r>
      <w:r>
        <w:rPr>
          <w:rFonts w:cs="Times New Roman"/>
        </w:rPr>
        <w:t>•m</w:t>
      </w:r>
      <w:r>
        <w:rPr>
          <w:rFonts w:hint="eastAsia" w:cs="Times New Roman"/>
        </w:rPr>
        <w:t>、50.7 kN</w:t>
      </w:r>
      <w:r>
        <w:rPr>
          <w:rFonts w:cs="Times New Roman"/>
        </w:rPr>
        <w:t>•m</w:t>
      </w:r>
      <w:r>
        <w:rPr>
          <w:rFonts w:hint="eastAsia" w:cs="Times New Roman"/>
        </w:rPr>
        <w:t>，由贝塞尔公式计算得到</w:t>
      </w:r>
      <m:oMath>
        <m:r>
          <w:rPr>
            <w:rFonts w:ascii="Cambria Math" w:hAnsi="Cambria Math" w:cs="Times New Roman"/>
          </w:rPr>
          <m:t>s</m:t>
        </m:r>
      </m:oMath>
      <w:r>
        <w:rPr>
          <w:rFonts w:hint="eastAsia" w:cs="Times New Roman"/>
        </w:rPr>
        <w:t>=0.44 kN</w:t>
      </w:r>
      <w:r>
        <w:rPr>
          <w:rFonts w:cs="Times New Roman"/>
        </w:rPr>
        <w:t>•m</w:t>
      </w:r>
      <w:r>
        <w:rPr>
          <w:rFonts w:hint="eastAsia" w:cs="Times New Roman"/>
        </w:rPr>
        <w:t>，则测量重复性引入的不确定度分量为：</w:t>
      </w:r>
    </w:p>
    <w:p>
      <w:pPr>
        <w:ind w:firstLine="0" w:firstLineChars="0"/>
        <w:jc w:val="center"/>
        <w:rPr>
          <w:rFonts w:cs="Times New Roman"/>
        </w:rPr>
      </w:pP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hint="eastAsia" w:ascii="Cambria Math" w:hAnsi="Cambria Math" w:cs="Times New Roman"/>
              </w:rPr>
              <m:t>1</m:t>
            </m:r>
            <m:ctrlPr>
              <w:rPr>
                <w:rFonts w:ascii="Cambria Math" w:hAnsi="Cambria Math" w:cs="Times New Roman"/>
                <w:i/>
              </w:rPr>
            </m:ctrlPr>
          </m:sub>
        </m:sSub>
        <m:r>
          <w:rPr>
            <w:rFonts w:ascii="Cambria Math" w:hAnsi="Cambria Math" w:cs="Times New Roman"/>
          </w:rPr>
          <m:t>=s=</m:t>
        </m:r>
        <m:r>
          <w:rPr>
            <w:rFonts w:hint="eastAsia" w:ascii="Cambria Math" w:hAnsi="Cambria Math" w:cs="Times New Roman"/>
          </w:rPr>
          <m:t>0.44</m:t>
        </m:r>
      </m:oMath>
      <w:r>
        <w:rPr>
          <w:rFonts w:hint="eastAsia" w:cs="Times New Roman"/>
        </w:rPr>
        <w:t xml:space="preserve"> kN</w:t>
      </w:r>
      <w:r>
        <w:rPr>
          <w:rFonts w:cs="Times New Roman"/>
        </w:rPr>
        <w:t>•m</w:t>
      </w:r>
    </w:p>
    <w:p>
      <w:pPr>
        <w:numPr>
          <w:ilvl w:val="2"/>
          <w:numId w:val="2"/>
        </w:numPr>
        <w:ind w:left="426" w:firstLineChars="0"/>
        <w:rPr>
          <w:rFonts w:cs="Times New Roman"/>
        </w:rPr>
      </w:pPr>
      <w:r>
        <w:rPr>
          <w:rFonts w:hint="eastAsia" w:cs="Times New Roman"/>
        </w:rPr>
        <w:t>由标准扭矩测试仪表示值误差引入的不确定度分量</w:t>
      </w: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hint="eastAsia" w:ascii="Cambria Math" w:hAnsi="Cambria Math" w:cs="Times New Roman"/>
              </w:rPr>
              <m:t>2</m:t>
            </m:r>
            <m:ctrlPr>
              <w:rPr>
                <w:rFonts w:ascii="Cambria Math" w:hAnsi="Cambria Math" w:cs="Times New Roman"/>
                <w:i/>
              </w:rPr>
            </m:ctrlPr>
          </m:sub>
        </m:sSub>
      </m:oMath>
    </w:p>
    <w:p>
      <w:pPr>
        <w:rPr>
          <w:rFonts w:cs="Times New Roman"/>
        </w:rPr>
      </w:pPr>
      <w:r>
        <w:rPr>
          <w:rFonts w:hint="eastAsia" w:cs="Times New Roman"/>
        </w:rPr>
        <w:t>经检定合格的100</w:t>
      </w:r>
      <w:r>
        <w:rPr>
          <w:rFonts w:cs="Times New Roman"/>
        </w:rPr>
        <w:t xml:space="preserve"> kN•m</w:t>
      </w:r>
      <w:r>
        <w:rPr>
          <w:rFonts w:hint="eastAsia" w:cs="Times New Roman"/>
        </w:rPr>
        <w:t>标准扭矩测试仪表的准确度等级为0.3级，即最大允许误差为±0.3%，置信区间半宽则为</w:t>
      </w:r>
      <w:r>
        <w:rPr>
          <w:rFonts w:hint="eastAsia" w:cs="Times New Roman"/>
          <w:i/>
        </w:rPr>
        <w:t>a=</w:t>
      </w:r>
      <w:r>
        <w:rPr>
          <w:rFonts w:hint="eastAsia" w:cs="Times New Roman"/>
        </w:rPr>
        <w:t>10</w:t>
      </w:r>
      <w:r>
        <w:rPr>
          <w:rFonts w:cs="Times New Roman"/>
        </w:rPr>
        <w:t>0</w:t>
      </w:r>
      <w:r>
        <w:rPr>
          <w:rFonts w:hint="eastAsia" w:cs="Times New Roman"/>
        </w:rPr>
        <w:t>×0.3%=0.3</w:t>
      </w:r>
      <w:r>
        <w:rPr>
          <w:rFonts w:cs="Times New Roman"/>
        </w:rPr>
        <w:t xml:space="preserve"> kN•m</w:t>
      </w:r>
      <w:r>
        <w:rPr>
          <w:rFonts w:hint="eastAsia" w:cs="Times New Roman"/>
        </w:rPr>
        <w:t>，在区间内均匀分布，</w:t>
      </w:r>
      <w:r>
        <w:rPr>
          <w:rFonts w:hint="eastAsia" w:cs="Times New Roman"/>
          <w:i/>
        </w:rPr>
        <w:t>k</w:t>
      </w:r>
      <w:r>
        <w:rPr>
          <w:rFonts w:hint="eastAsia" w:cs="Times New Roman"/>
        </w:rPr>
        <w:t>=</w:t>
      </w:r>
      <m:oMath>
        <m:rad>
          <m:radPr>
            <m:degHide m:val="1"/>
            <m:ctrlPr>
              <w:rPr>
                <w:rFonts w:ascii="Cambria Math" w:hAnsi="Cambria Math" w:cs="Times New Roman"/>
                <w:i/>
              </w:rPr>
            </m:ctrlPr>
          </m:radPr>
          <m:deg>
            <m:ctrlPr>
              <w:rPr>
                <w:rFonts w:ascii="Cambria Math" w:hAnsi="Cambria Math" w:cs="Times New Roman"/>
                <w:i/>
              </w:rPr>
            </m:ctrlPr>
          </m:deg>
          <m:e>
            <m:r>
              <w:rPr>
                <w:rFonts w:ascii="Cambria Math" w:hAnsi="Cambria Math" w:cs="Times New Roman"/>
              </w:rPr>
              <m:t>3</m:t>
            </m:r>
            <m:ctrlPr>
              <w:rPr>
                <w:rFonts w:ascii="Cambria Math" w:hAnsi="Cambria Math" w:cs="Times New Roman"/>
                <w:i/>
              </w:rPr>
            </m:ctrlPr>
          </m:e>
        </m:rad>
      </m:oMath>
      <w:r>
        <w:rPr>
          <w:rFonts w:hint="eastAsia" w:cs="Times New Roman"/>
        </w:rPr>
        <w:t>。则由标准扭矩测试仪表示值误差引入的不确定度分量为：</w:t>
      </w:r>
    </w:p>
    <w:p>
      <w:pPr>
        <w:spacing w:line="240" w:lineRule="auto"/>
        <w:ind w:firstLine="0" w:firstLineChars="0"/>
        <w:jc w:val="center"/>
        <w:rPr>
          <w:rFonts w:cs="Times New Roman"/>
        </w:rPr>
      </w:pP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hint="eastAsia" w:ascii="Cambria Math" w:hAnsi="Cambria Math" w:cs="Times New Roman"/>
              </w:rPr>
              <m:t>2</m:t>
            </m:r>
            <m:ctrlPr>
              <w:rPr>
                <w:rFonts w:ascii="Cambria Math" w:hAnsi="Cambria Math" w:cs="Times New Roman"/>
                <w:i/>
              </w:rPr>
            </m:ctrlPr>
          </m:sub>
        </m:sSub>
        <m:r>
          <w:rPr>
            <w:rFonts w:hint="eastAsia" w:ascii="Cambria Math" w:hAnsi="Cambria Math" w:cs="Times New Roman"/>
          </w:rPr>
          <m:t>=</m:t>
        </m:r>
        <m:f>
          <m:fPr>
            <m:ctrlPr>
              <w:rPr>
                <w:rFonts w:ascii="Cambria Math" w:hAnsi="Cambria Math" w:cs="Times New Roman"/>
                <w:i/>
              </w:rPr>
            </m:ctrlPr>
          </m:fPr>
          <m:num>
            <m:r>
              <w:rPr>
                <w:rFonts w:ascii="Cambria Math" w:hAnsi="Cambria Math" w:cs="Times New Roman"/>
              </w:rPr>
              <m:t>a</m:t>
            </m:r>
            <m:ctrlPr>
              <w:rPr>
                <w:rFonts w:ascii="Cambria Math" w:hAnsi="Cambria Math" w:cs="Times New Roman"/>
                <w:i/>
              </w:rPr>
            </m:ctrlPr>
          </m:num>
          <m:den>
            <m:rad>
              <m:radPr>
                <m:degHide m:val="1"/>
                <m:ctrlPr>
                  <w:rPr>
                    <w:rFonts w:ascii="Cambria Math" w:hAnsi="Cambria Math" w:cs="Times New Roman"/>
                    <w:i/>
                  </w:rPr>
                </m:ctrlPr>
              </m:radPr>
              <m:deg>
                <m:ctrlPr>
                  <w:rPr>
                    <w:rFonts w:ascii="Cambria Math" w:hAnsi="Cambria Math" w:cs="Times New Roman"/>
                    <w:i/>
                  </w:rPr>
                </m:ctrlPr>
              </m:deg>
              <m:e>
                <m:r>
                  <w:rPr>
                    <w:rFonts w:ascii="Cambria Math" w:hAnsi="Cambria Math" w:cs="Times New Roman"/>
                  </w:rPr>
                  <m:t>3</m:t>
                </m:r>
                <m:ctrlPr>
                  <w:rPr>
                    <w:rFonts w:ascii="Cambria Math" w:hAnsi="Cambria Math" w:cs="Times New Roman"/>
                    <w:i/>
                  </w:rPr>
                </m:ctrlPr>
              </m:e>
            </m:rad>
            <m:ctrlPr>
              <w:rPr>
                <w:rFonts w:ascii="Cambria Math" w:hAnsi="Cambria Math" w:cs="Times New Roman"/>
                <w:i/>
              </w:rPr>
            </m:ctrlPr>
          </m:den>
        </m:f>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0.3</m:t>
            </m:r>
            <m:ctrlPr>
              <w:rPr>
                <w:rFonts w:ascii="Cambria Math" w:hAnsi="Cambria Math" w:cs="Times New Roman"/>
              </w:rPr>
            </m:ctrlPr>
          </m:num>
          <m:den>
            <m:rad>
              <m:radPr>
                <m:degHide m:val="1"/>
                <m:ctrlPr>
                  <w:rPr>
                    <w:rFonts w:ascii="Cambria Math" w:hAnsi="Cambria Math" w:cs="Times New Roman"/>
                    <w:i/>
                  </w:rPr>
                </m:ctrlPr>
              </m:radPr>
              <m:deg>
                <m:ctrlPr>
                  <w:rPr>
                    <w:rFonts w:ascii="Cambria Math" w:hAnsi="Cambria Math" w:cs="Times New Roman"/>
                    <w:i/>
                  </w:rPr>
                </m:ctrlPr>
              </m:deg>
              <m:e>
                <m:r>
                  <w:rPr>
                    <w:rFonts w:ascii="Cambria Math" w:hAnsi="Cambria Math" w:cs="Times New Roman"/>
                  </w:rPr>
                  <m:t>3</m:t>
                </m:r>
                <m:ctrlPr>
                  <w:rPr>
                    <w:rFonts w:ascii="Cambria Math" w:hAnsi="Cambria Math" w:cs="Times New Roman"/>
                    <w:i/>
                  </w:rPr>
                </m:ctrlPr>
              </m:e>
            </m:rad>
            <m:ctrlPr>
              <w:rPr>
                <w:rFonts w:ascii="Cambria Math" w:hAnsi="Cambria Math" w:cs="Times New Roman"/>
              </w:rPr>
            </m:ctrlPr>
          </m:den>
        </m:f>
        <m:r>
          <w:rPr>
            <w:rFonts w:ascii="Cambria Math" w:hAnsi="Cambria Math" w:cs="Times New Roman"/>
          </w:rPr>
          <m:t>=0.17</m:t>
        </m:r>
      </m:oMath>
      <w:r>
        <w:rPr>
          <w:rFonts w:hint="eastAsia" w:cs="Times New Roman"/>
        </w:rPr>
        <w:t xml:space="preserve"> </w:t>
      </w:r>
      <w:r>
        <w:rPr>
          <w:rFonts w:cs="Times New Roman"/>
        </w:rPr>
        <w:t>kN•m</w:t>
      </w:r>
    </w:p>
    <w:p>
      <w:pPr>
        <w:numPr>
          <w:ilvl w:val="1"/>
          <w:numId w:val="2"/>
        </w:numPr>
        <w:ind w:left="426" w:firstLineChars="0"/>
        <w:rPr>
          <w:rFonts w:cs="Times New Roman"/>
        </w:rPr>
      </w:pPr>
      <w:r>
        <w:rPr>
          <w:rFonts w:hint="eastAsia" w:cs="Times New Roman"/>
        </w:rPr>
        <w:t>合成标准不确定度</w:t>
      </w:r>
    </w:p>
    <w:p>
      <w:pPr>
        <w:rPr>
          <w:rFonts w:cs="Times New Roman"/>
        </w:rPr>
      </w:pPr>
      <w:r>
        <w:rPr>
          <w:rFonts w:hint="eastAsia" w:cs="Times New Roman"/>
        </w:rPr>
        <w:t>标准不确定度分量汇总表见。</w:t>
      </w:r>
    </w:p>
    <w:p>
      <w:pPr>
        <w:ind w:firstLine="0" w:firstLineChars="0"/>
        <w:jc w:val="center"/>
        <w:rPr>
          <w:rFonts w:eastAsia="黑体" w:cs="Times New Roman"/>
          <w:sz w:val="21"/>
          <w:szCs w:val="21"/>
        </w:rPr>
      </w:pPr>
      <w:r>
        <w:rPr>
          <w:rFonts w:hint="eastAsia" w:eastAsia="黑体" w:cs="Times New Roman"/>
          <w:sz w:val="21"/>
          <w:szCs w:val="21"/>
        </w:rPr>
        <w:t>表A.1</w:t>
      </w:r>
      <w:r>
        <w:rPr>
          <w:rFonts w:eastAsia="黑体" w:cs="Times New Roman"/>
          <w:sz w:val="21"/>
          <w:szCs w:val="21"/>
        </w:rPr>
        <w:t xml:space="preserve">  </w:t>
      </w:r>
      <w:r>
        <w:rPr>
          <w:rFonts w:hint="eastAsia" w:eastAsia="黑体" w:cs="Times New Roman"/>
          <w:sz w:val="21"/>
          <w:szCs w:val="21"/>
        </w:rPr>
        <w:t>标准不确定度分量汇总表</w:t>
      </w:r>
    </w:p>
    <w:tbl>
      <w:tblPr>
        <w:tblStyle w:val="17"/>
        <w:tblW w:w="96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1985"/>
        <w:gridCol w:w="2976"/>
        <w:gridCol w:w="1560"/>
        <w:gridCol w:w="1275"/>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序号</w:t>
            </w:r>
          </w:p>
        </w:tc>
        <w:tc>
          <w:tcPr>
            <w:tcW w:w="1985"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标准不确定度分量</w:t>
            </w:r>
          </w:p>
          <w:p>
            <w:pPr>
              <w:spacing w:before="60" w:after="60" w:line="240" w:lineRule="auto"/>
              <w:ind w:firstLine="0" w:firstLineChars="0"/>
              <w:jc w:val="center"/>
              <w:rPr>
                <w:rFonts w:cs="Times New Roman"/>
                <w:sz w:val="21"/>
                <w:szCs w:val="21"/>
              </w:rPr>
            </w:pPr>
            <m:oMathPara>
              <m:oMath>
                <m:sSub>
                  <m:sSubPr>
                    <m:ctrlPr>
                      <w:rPr>
                        <w:rFonts w:ascii="Cambria Math" w:hAnsi="Cambria Math" w:cs="Times New Roman"/>
                        <w:i/>
                        <w:sz w:val="21"/>
                        <w:szCs w:val="21"/>
                      </w:rPr>
                    </m:ctrlPr>
                  </m:sSubPr>
                  <m:e>
                    <m:r>
                      <w:rPr>
                        <w:rFonts w:ascii="Cambria Math" w:hAnsi="Cambria Math" w:cs="Times New Roman"/>
                        <w:sz w:val="21"/>
                        <w:szCs w:val="21"/>
                      </w:rPr>
                      <m:t>u</m:t>
                    </m:r>
                    <m:ctrlPr>
                      <w:rPr>
                        <w:rFonts w:ascii="Cambria Math" w:hAnsi="Cambria Math" w:cs="Times New Roman"/>
                        <w:i/>
                        <w:sz w:val="21"/>
                        <w:szCs w:val="21"/>
                      </w:rPr>
                    </m:ctrlPr>
                  </m:e>
                  <m:sub>
                    <m:r>
                      <w:rPr>
                        <w:rFonts w:ascii="Cambria Math" w:hAnsi="Cambria Math" w:cs="Times New Roman"/>
                        <w:sz w:val="21"/>
                        <w:szCs w:val="21"/>
                      </w:rPr>
                      <m:t>i</m:t>
                    </m:r>
                    <m:ctrlPr>
                      <w:rPr>
                        <w:rFonts w:ascii="Cambria Math" w:hAnsi="Cambria Math" w:cs="Times New Roman"/>
                        <w:i/>
                        <w:sz w:val="21"/>
                        <w:szCs w:val="21"/>
                      </w:rPr>
                    </m:ctrlPr>
                  </m:sub>
                </m:sSub>
              </m:oMath>
            </m:oMathPara>
          </w:p>
        </w:tc>
        <w:tc>
          <w:tcPr>
            <w:tcW w:w="2976"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不确定度来源</w:t>
            </w:r>
          </w:p>
        </w:tc>
        <w:tc>
          <w:tcPr>
            <w:tcW w:w="1560"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标准不确定值</w:t>
            </w:r>
          </w:p>
          <w:p>
            <w:pPr>
              <w:spacing w:before="60" w:after="60" w:line="240" w:lineRule="auto"/>
              <w:ind w:firstLine="0" w:firstLineChars="0"/>
              <w:jc w:val="center"/>
              <w:rPr>
                <w:rFonts w:cs="Times New Roman"/>
                <w:sz w:val="21"/>
                <w:szCs w:val="21"/>
              </w:rPr>
            </w:pPr>
            <m:oMathPara>
              <m:oMath>
                <m:sSub>
                  <m:sSubPr>
                    <m:ctrlPr>
                      <w:rPr>
                        <w:rFonts w:ascii="Cambria Math" w:hAnsi="Cambria Math" w:cs="Times New Roman"/>
                        <w:i/>
                        <w:sz w:val="21"/>
                        <w:szCs w:val="21"/>
                      </w:rPr>
                    </m:ctrlPr>
                  </m:sSubPr>
                  <m:e>
                    <m:r>
                      <w:rPr>
                        <w:rFonts w:ascii="Cambria Math" w:hAnsi="Cambria Math" w:cs="Times New Roman"/>
                        <w:sz w:val="21"/>
                        <w:szCs w:val="21"/>
                      </w:rPr>
                      <m:t>u</m:t>
                    </m:r>
                    <m:ctrlPr>
                      <w:rPr>
                        <w:rFonts w:ascii="Cambria Math" w:hAnsi="Cambria Math" w:cs="Times New Roman"/>
                        <w:i/>
                        <w:sz w:val="21"/>
                        <w:szCs w:val="21"/>
                      </w:rPr>
                    </m:ctrlPr>
                  </m:e>
                  <m:sub>
                    <m:r>
                      <w:rPr>
                        <w:rFonts w:ascii="Cambria Math" w:hAnsi="Cambria Math" w:cs="Times New Roman"/>
                        <w:sz w:val="21"/>
                        <w:szCs w:val="21"/>
                      </w:rPr>
                      <m:t>i</m:t>
                    </m:r>
                    <m:ctrlPr>
                      <w:rPr>
                        <w:rFonts w:ascii="Cambria Math" w:hAnsi="Cambria Math" w:cs="Times New Roman"/>
                        <w:i/>
                        <w:sz w:val="21"/>
                        <w:szCs w:val="21"/>
                      </w:rPr>
                    </m:ctrlPr>
                  </m:sub>
                </m:sSub>
              </m:oMath>
            </m:oMathPara>
          </w:p>
        </w:tc>
        <w:tc>
          <w:tcPr>
            <w:tcW w:w="1275"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灵敏度系数</w:t>
            </w:r>
          </w:p>
          <w:p>
            <w:pPr>
              <w:spacing w:before="60" w:after="60" w:line="240" w:lineRule="auto"/>
              <w:ind w:firstLine="0" w:firstLineChars="0"/>
              <w:jc w:val="center"/>
              <w:rPr>
                <w:rFonts w:cs="Times New Roman"/>
                <w:sz w:val="21"/>
                <w:szCs w:val="21"/>
              </w:rPr>
            </w:pPr>
            <m:oMathPara>
              <m:oMath>
                <m:sSub>
                  <m:sSubPr>
                    <m:ctrlPr>
                      <w:rPr>
                        <w:rFonts w:ascii="Cambria Math" w:hAnsi="Cambria Math" w:cs="Times New Roman"/>
                        <w:i/>
                        <w:sz w:val="21"/>
                        <w:szCs w:val="21"/>
                      </w:rPr>
                    </m:ctrlPr>
                  </m:sSubPr>
                  <m:e>
                    <m:r>
                      <w:rPr>
                        <w:rFonts w:hint="eastAsia" w:ascii="Cambria Math" w:hAnsi="Cambria Math" w:cs="Times New Roman"/>
                        <w:sz w:val="21"/>
                        <w:szCs w:val="21"/>
                      </w:rPr>
                      <m:t>c</m:t>
                    </m:r>
                    <m:ctrlPr>
                      <w:rPr>
                        <w:rFonts w:ascii="Cambria Math" w:hAnsi="Cambria Math" w:cs="Times New Roman"/>
                        <w:i/>
                        <w:sz w:val="21"/>
                        <w:szCs w:val="21"/>
                      </w:rPr>
                    </m:ctrlPr>
                  </m:e>
                  <m:sub>
                    <m:r>
                      <w:rPr>
                        <w:rFonts w:ascii="Cambria Math" w:hAnsi="Cambria Math" w:cs="Times New Roman"/>
                        <w:sz w:val="21"/>
                        <w:szCs w:val="21"/>
                      </w:rPr>
                      <m:t>i</m:t>
                    </m:r>
                    <m:ctrlPr>
                      <w:rPr>
                        <w:rFonts w:ascii="Cambria Math" w:hAnsi="Cambria Math" w:cs="Times New Roman"/>
                        <w:i/>
                        <w:sz w:val="21"/>
                        <w:szCs w:val="21"/>
                      </w:rPr>
                    </m:ctrlPr>
                  </m:sub>
                </m:sSub>
              </m:oMath>
            </m:oMathPara>
          </w:p>
        </w:tc>
        <w:tc>
          <w:tcPr>
            <w:tcW w:w="1191" w:type="dxa"/>
            <w:vAlign w:val="center"/>
          </w:tcPr>
          <w:p>
            <w:pPr>
              <w:spacing w:before="60" w:after="60" w:line="240" w:lineRule="auto"/>
              <w:ind w:firstLine="0" w:firstLineChars="0"/>
              <w:jc w:val="center"/>
              <w:rPr>
                <w:rFonts w:cs="Times New Roman"/>
                <w:sz w:val="21"/>
                <w:szCs w:val="21"/>
              </w:rPr>
            </w:pPr>
            <m:oMathPara>
              <m:oMath>
                <m:d>
                  <m:dPr>
                    <m:begChr m:val="|"/>
                    <m:endChr m:val="|"/>
                    <m:ctrlPr>
                      <w:rPr>
                        <w:rFonts w:ascii="Cambria Math" w:hAnsi="Cambria Math" w:cs="Times New Roman"/>
                        <w:i/>
                        <w:sz w:val="21"/>
                        <w:szCs w:val="21"/>
                      </w:rPr>
                    </m:ctrlPr>
                  </m:dPr>
                  <m:e>
                    <m:sSub>
                      <m:sSubPr>
                        <m:ctrlPr>
                          <w:rPr>
                            <w:rFonts w:ascii="Cambria Math" w:hAnsi="Cambria Math" w:cs="Times New Roman"/>
                            <w:i/>
                            <w:sz w:val="21"/>
                            <w:szCs w:val="21"/>
                          </w:rPr>
                        </m:ctrlPr>
                      </m:sSubPr>
                      <m:e>
                        <m:r>
                          <w:rPr>
                            <w:rFonts w:ascii="Cambria Math" w:hAnsi="Cambria Math" w:cs="Times New Roman"/>
                            <w:sz w:val="21"/>
                            <w:szCs w:val="21"/>
                          </w:rPr>
                          <m:t>c</m:t>
                        </m:r>
                        <m:ctrlPr>
                          <w:rPr>
                            <w:rFonts w:ascii="Cambria Math" w:hAnsi="Cambria Math" w:cs="Times New Roman"/>
                            <w:i/>
                            <w:sz w:val="21"/>
                            <w:szCs w:val="21"/>
                          </w:rPr>
                        </m:ctrlPr>
                      </m:e>
                      <m:sub>
                        <m:r>
                          <w:rPr>
                            <w:rFonts w:ascii="Cambria Math" w:hAnsi="Cambria Math" w:cs="Times New Roman"/>
                            <w:sz w:val="21"/>
                            <w:szCs w:val="21"/>
                          </w:rPr>
                          <m:t>i</m:t>
                        </m:r>
                        <m:ctrlPr>
                          <w:rPr>
                            <w:rFonts w:ascii="Cambria Math" w:hAnsi="Cambria Math" w:cs="Times New Roman"/>
                            <w:i/>
                            <w:sz w:val="21"/>
                            <w:szCs w:val="21"/>
                          </w:rPr>
                        </m:ctrlPr>
                      </m:sub>
                    </m:sSub>
                    <m:ctrlPr>
                      <w:rPr>
                        <w:rFonts w:ascii="Cambria Math" w:hAnsi="Cambria Math" w:cs="Times New Roman"/>
                        <w:i/>
                        <w:sz w:val="21"/>
                        <w:szCs w:val="21"/>
                      </w:rPr>
                    </m:ctrlPr>
                  </m:e>
                </m:d>
                <m:r>
                  <w:rPr>
                    <w:rFonts w:ascii="Cambria Math" w:hAnsi="Cambria Math" w:cs="Times New Roman"/>
                    <w:sz w:val="21"/>
                    <w:szCs w:val="21"/>
                  </w:rPr>
                  <m:t>×</m:t>
                </m:r>
                <m:sSub>
                  <m:sSubPr>
                    <m:ctrlPr>
                      <w:rPr>
                        <w:rFonts w:ascii="Cambria Math" w:hAnsi="Cambria Math" w:cs="Times New Roman"/>
                        <w:i/>
                        <w:sz w:val="21"/>
                        <w:szCs w:val="21"/>
                      </w:rPr>
                    </m:ctrlPr>
                  </m:sSubPr>
                  <m:e>
                    <m:r>
                      <w:rPr>
                        <w:rFonts w:ascii="Cambria Math" w:hAnsi="Cambria Math" w:cs="Times New Roman"/>
                        <w:sz w:val="21"/>
                        <w:szCs w:val="21"/>
                      </w:rPr>
                      <m:t>u</m:t>
                    </m:r>
                    <m:ctrlPr>
                      <w:rPr>
                        <w:rFonts w:ascii="Cambria Math" w:hAnsi="Cambria Math" w:cs="Times New Roman"/>
                        <w:i/>
                        <w:sz w:val="21"/>
                        <w:szCs w:val="21"/>
                      </w:rPr>
                    </m:ctrlPr>
                  </m:e>
                  <m:sub>
                    <m:r>
                      <w:rPr>
                        <w:rFonts w:ascii="Cambria Math" w:hAnsi="Cambria Math" w:cs="Times New Roman"/>
                        <w:sz w:val="21"/>
                        <w:szCs w:val="21"/>
                      </w:rPr>
                      <m:t>i</m:t>
                    </m:r>
                    <m:ctrlPr>
                      <w:rPr>
                        <w:rFonts w:ascii="Cambria Math" w:hAnsi="Cambria Math" w:cs="Times New Roman"/>
                        <w:i/>
                        <w:sz w:val="21"/>
                        <w:szCs w:val="21"/>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1</w:t>
            </w:r>
          </w:p>
        </w:tc>
        <w:tc>
          <w:tcPr>
            <w:tcW w:w="1985" w:type="dxa"/>
            <w:vAlign w:val="center"/>
          </w:tcPr>
          <w:p>
            <w:pPr>
              <w:spacing w:before="60" w:after="60" w:line="240" w:lineRule="auto"/>
              <w:ind w:firstLine="0" w:firstLineChars="0"/>
              <w:jc w:val="center"/>
              <w:rPr>
                <w:rFonts w:cs="Times New Roman"/>
                <w:sz w:val="21"/>
                <w:szCs w:val="21"/>
              </w:rPr>
            </w:pPr>
            <m:oMathPara>
              <m:oMath>
                <m:sSub>
                  <m:sSubPr>
                    <m:ctrlPr>
                      <w:rPr>
                        <w:rFonts w:ascii="Cambria Math" w:hAnsi="Cambria Math" w:cs="Times New Roman"/>
                        <w:i/>
                        <w:sz w:val="21"/>
                        <w:szCs w:val="21"/>
                      </w:rPr>
                    </m:ctrlPr>
                  </m:sSubPr>
                  <m:e>
                    <m:r>
                      <w:rPr>
                        <w:rFonts w:ascii="Cambria Math" w:hAnsi="Cambria Math" w:cs="Times New Roman"/>
                        <w:sz w:val="21"/>
                        <w:szCs w:val="21"/>
                      </w:rPr>
                      <m:t>u</m:t>
                    </m:r>
                    <m:ctrlPr>
                      <w:rPr>
                        <w:rFonts w:ascii="Cambria Math" w:hAnsi="Cambria Math" w:cs="Times New Roman"/>
                        <w:i/>
                        <w:sz w:val="21"/>
                        <w:szCs w:val="21"/>
                      </w:rPr>
                    </m:ctrlPr>
                  </m:e>
                  <m:sub>
                    <m:r>
                      <w:rPr>
                        <w:rFonts w:ascii="Cambria Math" w:hAnsi="Cambria Math" w:cs="Times New Roman"/>
                        <w:sz w:val="21"/>
                        <w:szCs w:val="21"/>
                      </w:rPr>
                      <m:t>1</m:t>
                    </m:r>
                    <m:ctrlPr>
                      <w:rPr>
                        <w:rFonts w:ascii="Cambria Math" w:hAnsi="Cambria Math" w:cs="Times New Roman"/>
                        <w:i/>
                        <w:sz w:val="21"/>
                        <w:szCs w:val="21"/>
                      </w:rPr>
                    </m:ctrlPr>
                  </m:sub>
                </m:sSub>
              </m:oMath>
            </m:oMathPara>
          </w:p>
        </w:tc>
        <w:tc>
          <w:tcPr>
            <w:tcW w:w="2976"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测量重复性</w:t>
            </w:r>
          </w:p>
        </w:tc>
        <w:tc>
          <w:tcPr>
            <w:tcW w:w="1560"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0</w:t>
            </w:r>
            <w:r>
              <w:rPr>
                <w:rFonts w:cs="Times New Roman"/>
                <w:sz w:val="21"/>
                <w:szCs w:val="21"/>
              </w:rPr>
              <w:t>.44 kN•m</w:t>
            </w:r>
          </w:p>
        </w:tc>
        <w:tc>
          <w:tcPr>
            <w:tcW w:w="1275"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1</w:t>
            </w:r>
          </w:p>
        </w:tc>
        <w:tc>
          <w:tcPr>
            <w:tcW w:w="1191"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0</w:t>
            </w:r>
            <w:r>
              <w:rPr>
                <w:rFonts w:cs="Times New Roman"/>
                <w:sz w:val="21"/>
                <w:szCs w:val="21"/>
              </w:rPr>
              <w:t>.44 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4"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2</w:t>
            </w:r>
          </w:p>
        </w:tc>
        <w:tc>
          <w:tcPr>
            <w:tcW w:w="1985" w:type="dxa"/>
            <w:vAlign w:val="center"/>
          </w:tcPr>
          <w:p>
            <w:pPr>
              <w:spacing w:before="60" w:after="60" w:line="240" w:lineRule="auto"/>
              <w:ind w:firstLine="0" w:firstLineChars="0"/>
              <w:jc w:val="center"/>
              <w:rPr>
                <w:rFonts w:cs="Times New Roman"/>
                <w:sz w:val="21"/>
                <w:szCs w:val="21"/>
              </w:rPr>
            </w:pPr>
            <m:oMathPara>
              <m:oMath>
                <m:sSub>
                  <m:sSubPr>
                    <m:ctrlPr>
                      <w:rPr>
                        <w:rFonts w:ascii="Cambria Math" w:hAnsi="Cambria Math" w:cs="Times New Roman"/>
                        <w:i/>
                        <w:sz w:val="21"/>
                        <w:szCs w:val="21"/>
                      </w:rPr>
                    </m:ctrlPr>
                  </m:sSubPr>
                  <m:e>
                    <m:r>
                      <w:rPr>
                        <w:rFonts w:ascii="Cambria Math" w:hAnsi="Cambria Math" w:cs="Times New Roman"/>
                        <w:sz w:val="21"/>
                        <w:szCs w:val="21"/>
                      </w:rPr>
                      <m:t>u</m:t>
                    </m:r>
                    <m:ctrlPr>
                      <w:rPr>
                        <w:rFonts w:ascii="Cambria Math" w:hAnsi="Cambria Math" w:cs="Times New Roman"/>
                        <w:i/>
                        <w:sz w:val="21"/>
                        <w:szCs w:val="21"/>
                      </w:rPr>
                    </m:ctrlPr>
                  </m:e>
                  <m:sub>
                    <m:r>
                      <w:rPr>
                        <w:rFonts w:ascii="Cambria Math" w:hAnsi="Cambria Math" w:cs="Times New Roman"/>
                        <w:sz w:val="21"/>
                        <w:szCs w:val="21"/>
                      </w:rPr>
                      <m:t>2</m:t>
                    </m:r>
                    <m:ctrlPr>
                      <w:rPr>
                        <w:rFonts w:ascii="Cambria Math" w:hAnsi="Cambria Math" w:cs="Times New Roman"/>
                        <w:i/>
                        <w:sz w:val="21"/>
                        <w:szCs w:val="21"/>
                      </w:rPr>
                    </m:ctrlPr>
                  </m:sub>
                </m:sSub>
              </m:oMath>
            </m:oMathPara>
          </w:p>
        </w:tc>
        <w:tc>
          <w:tcPr>
            <w:tcW w:w="2976"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标准扭矩测试仪表示值误差</w:t>
            </w:r>
          </w:p>
        </w:tc>
        <w:tc>
          <w:tcPr>
            <w:tcW w:w="1560" w:type="dxa"/>
            <w:vAlign w:val="center"/>
          </w:tcPr>
          <w:p>
            <w:pPr>
              <w:spacing w:before="60" w:after="60" w:line="240" w:lineRule="auto"/>
              <w:ind w:firstLine="0" w:firstLineChars="0"/>
              <w:jc w:val="center"/>
              <w:rPr>
                <w:rFonts w:cs="Times New Roman"/>
                <w:sz w:val="21"/>
                <w:szCs w:val="21"/>
              </w:rPr>
            </w:pPr>
            <w:r>
              <w:rPr>
                <w:rFonts w:cs="Times New Roman"/>
                <w:sz w:val="21"/>
                <w:szCs w:val="21"/>
              </w:rPr>
              <w:t>0.17 kN•m</w:t>
            </w:r>
          </w:p>
        </w:tc>
        <w:tc>
          <w:tcPr>
            <w:tcW w:w="1275" w:type="dxa"/>
            <w:vAlign w:val="center"/>
          </w:tcPr>
          <w:p>
            <w:pPr>
              <w:spacing w:before="60" w:after="60" w:line="240" w:lineRule="auto"/>
              <w:ind w:firstLine="0" w:firstLineChars="0"/>
              <w:jc w:val="center"/>
              <w:rPr>
                <w:rFonts w:cs="Times New Roman"/>
                <w:sz w:val="21"/>
                <w:szCs w:val="21"/>
              </w:rPr>
            </w:pPr>
            <w:r>
              <w:rPr>
                <w:rFonts w:hint="eastAsia" w:cs="Times New Roman"/>
                <w:sz w:val="21"/>
                <w:szCs w:val="21"/>
              </w:rPr>
              <w:t>1</w:t>
            </w:r>
          </w:p>
        </w:tc>
        <w:tc>
          <w:tcPr>
            <w:tcW w:w="1191" w:type="dxa"/>
            <w:vAlign w:val="center"/>
          </w:tcPr>
          <w:p>
            <w:pPr>
              <w:spacing w:before="60" w:after="60" w:line="240" w:lineRule="auto"/>
              <w:ind w:firstLine="0" w:firstLineChars="0"/>
              <w:jc w:val="center"/>
              <w:rPr>
                <w:rFonts w:cs="Times New Roman"/>
                <w:sz w:val="21"/>
                <w:szCs w:val="21"/>
              </w:rPr>
            </w:pPr>
            <w:r>
              <w:rPr>
                <w:rFonts w:cs="Times New Roman"/>
                <w:sz w:val="21"/>
                <w:szCs w:val="21"/>
              </w:rPr>
              <w:t>0.17 kN•m</w:t>
            </w:r>
          </w:p>
        </w:tc>
      </w:tr>
    </w:tbl>
    <w:p>
      <w:pPr>
        <w:ind w:firstLineChars="0"/>
        <w:rPr>
          <w:rFonts w:cs="Times New Roman"/>
        </w:rPr>
      </w:pPr>
      <w:r>
        <w:rPr>
          <w:rFonts w:hint="eastAsia" w:cs="Times New Roman"/>
        </w:rPr>
        <w:t>合成标准不确定度为：</w:t>
      </w:r>
    </w:p>
    <w:p>
      <w:pPr>
        <w:spacing w:line="240" w:lineRule="auto"/>
        <w:ind w:firstLine="0" w:firstLineChars="0"/>
        <w:jc w:val="center"/>
        <w:rPr>
          <w:rFonts w:cs="Times New Roman"/>
        </w:rPr>
      </w:pPr>
      <m:oMath>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c</m:t>
            </m:r>
            <m:ctrlPr>
              <w:rPr>
                <w:rFonts w:ascii="Cambria Math" w:hAnsi="Cambria Math" w:cs="Times New Roman"/>
                <w:i/>
              </w:rPr>
            </m:ctrlPr>
          </m:sub>
        </m:sSub>
        <m:r>
          <w:rPr>
            <w:rFonts w:ascii="Cambria Math" w:hAnsi="Cambria Math" w:cs="Times New Roman"/>
          </w:rPr>
          <m:t>=</m:t>
        </m:r>
        <m:rad>
          <m:radPr>
            <m:degHide m:val="1"/>
            <m:ctrlPr>
              <w:rPr>
                <w:rFonts w:ascii="Cambria Math" w:hAnsi="Cambria Math" w:cs="Times New Roman"/>
                <w:i/>
              </w:rPr>
            </m:ctrlPr>
          </m:radPr>
          <m:deg>
            <m:ctrlPr>
              <w:rPr>
                <w:rFonts w:ascii="Cambria Math" w:hAnsi="Cambria Math" w:cs="Times New Roman"/>
                <w:i/>
              </w:rPr>
            </m:ctrlPr>
          </m:deg>
          <m:e>
            <m:sSubSup>
              <m:sSubSupPr>
                <m:ctrlPr>
                  <w:rPr>
                    <w:rFonts w:ascii="Cambria Math" w:hAnsi="Cambria Math" w:cs="Times New Roman"/>
                    <w:i/>
                  </w:rPr>
                </m:ctrlPr>
              </m:sSubSupPr>
              <m:e>
                <m:r>
                  <w:rPr>
                    <w:rFonts w:ascii="Cambria Math" w:hAnsi="Cambria Math" w:cs="Times New Roman"/>
                  </w:rPr>
                  <m:t>u</m:t>
                </m:r>
                <m:ctrlPr>
                  <w:rPr>
                    <w:rFonts w:ascii="Cambria Math" w:hAnsi="Cambria Math" w:cs="Times New Roman"/>
                    <w:i/>
                  </w:rPr>
                </m:ctrlPr>
              </m:e>
              <m:sub>
                <m:r>
                  <w:rPr>
                    <w:rFonts w:ascii="Cambria Math" w:hAnsi="Cambria Math" w:cs="Times New Roman"/>
                  </w:rPr>
                  <m:t>1</m:t>
                </m:r>
                <m:ctrlPr>
                  <w:rPr>
                    <w:rFonts w:ascii="Cambria Math" w:hAnsi="Cambria Math" w:cs="Times New Roman"/>
                    <w:i/>
                  </w:rPr>
                </m:ctrlPr>
              </m:sub>
              <m:sup>
                <m:r>
                  <w:rPr>
                    <w:rFonts w:ascii="Cambria Math" w:hAnsi="Cambria Math" w:cs="Times New Roman"/>
                  </w:rPr>
                  <m:t>2</m:t>
                </m:r>
                <m:ctrlPr>
                  <w:rPr>
                    <w:rFonts w:ascii="Cambria Math" w:hAnsi="Cambria Math" w:cs="Times New Roman"/>
                    <w:i/>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u</m:t>
                </m:r>
                <m:ctrlPr>
                  <w:rPr>
                    <w:rFonts w:ascii="Cambria Math" w:hAnsi="Cambria Math" w:cs="Times New Roman"/>
                    <w:i/>
                  </w:rPr>
                </m:ctrlPr>
              </m:e>
              <m:sub>
                <m:r>
                  <w:rPr>
                    <w:rFonts w:ascii="Cambria Math" w:hAnsi="Cambria Math" w:cs="Times New Roman"/>
                  </w:rPr>
                  <m:t>2</m:t>
                </m:r>
                <m:ctrlPr>
                  <w:rPr>
                    <w:rFonts w:ascii="Cambria Math" w:hAnsi="Cambria Math" w:cs="Times New Roman"/>
                    <w:i/>
                  </w:rPr>
                </m:ctrlPr>
              </m:sub>
              <m:sup>
                <m:r>
                  <w:rPr>
                    <w:rFonts w:ascii="Cambria Math" w:hAnsi="Cambria Math" w:cs="Times New Roman"/>
                  </w:rPr>
                  <m:t>2</m:t>
                </m:r>
                <m:ctrlPr>
                  <w:rPr>
                    <w:rFonts w:ascii="Cambria Math" w:hAnsi="Cambria Math" w:cs="Times New Roman"/>
                    <w:i/>
                  </w:rPr>
                </m:ctrlPr>
              </m:sup>
            </m:sSubSup>
            <m:ctrlPr>
              <w:rPr>
                <w:rFonts w:ascii="Cambria Math" w:hAnsi="Cambria Math" w:cs="Times New Roman"/>
                <w:i/>
              </w:rPr>
            </m:ctrlPr>
          </m:e>
        </m:rad>
        <m:r>
          <w:rPr>
            <w:rFonts w:hint="eastAsia" w:ascii="Cambria Math" w:hAnsi="Cambria Math" w:cs="Times New Roman"/>
          </w:rPr>
          <m:t>=</m:t>
        </m:r>
        <m:rad>
          <m:radPr>
            <m:degHide m:val="1"/>
            <m:ctrlPr>
              <w:rPr>
                <w:rFonts w:ascii="Cambria Math" w:hAnsi="Cambria Math" w:cs="Times New Roman"/>
                <w:i/>
              </w:rPr>
            </m:ctrlPr>
          </m:radPr>
          <m:deg>
            <m:ctrlPr>
              <w:rPr>
                <w:rFonts w:ascii="Cambria Math" w:hAnsi="Cambria Math" w:cs="Times New Roman"/>
                <w:i/>
              </w:rPr>
            </m:ctrlPr>
          </m:deg>
          <m:e>
            <m:sSup>
              <m:sSupPr>
                <m:ctrlPr>
                  <w:rPr>
                    <w:rFonts w:ascii="Cambria Math" w:hAnsi="Cambria Math" w:cs="Times New Roman"/>
                    <w:i/>
                  </w:rPr>
                </m:ctrlPr>
              </m:sSupPr>
              <m:e>
                <m:r>
                  <w:rPr>
                    <w:rFonts w:ascii="Cambria Math" w:hAnsi="Cambria Math" w:cs="Times New Roman"/>
                  </w:rPr>
                  <m:t>0.44</m:t>
                </m:r>
                <m:ctrlPr>
                  <w:rPr>
                    <w:rFonts w:ascii="Cambria Math" w:hAnsi="Cambria Math" w:cs="Times New Roman"/>
                    <w:i/>
                  </w:rPr>
                </m:ctrlPr>
              </m:e>
              <m:sup>
                <m:r>
                  <w:rPr>
                    <w:rFonts w:hint="eastAsia" w:ascii="Cambria Math" w:hAnsi="Cambria Math" w:cs="Times New Roman"/>
                  </w:rPr>
                  <m:t>2</m:t>
                </m:r>
                <m:ctrlPr>
                  <w:rPr>
                    <w:rFonts w:ascii="Cambria Math" w:hAnsi="Cambria Math" w:cs="Times New Roman"/>
                    <w:i/>
                  </w:rPr>
                </m:ctrlPr>
              </m:sup>
            </m:sSup>
            <m:r>
              <w:rPr>
                <w:rFonts w:hint="eastAsia" w:ascii="Cambria Math" w:hAnsi="Cambria Math" w:cs="Times New Roman"/>
              </w:rPr>
              <m:t>+</m:t>
            </m:r>
            <m:sSup>
              <m:sSupPr>
                <m:ctrlPr>
                  <w:rPr>
                    <w:rFonts w:ascii="Cambria Math" w:hAnsi="Cambria Math" w:cs="Times New Roman"/>
                    <w:i/>
                  </w:rPr>
                </m:ctrlPr>
              </m:sSupPr>
              <m:e>
                <m:r>
                  <w:rPr>
                    <w:rFonts w:ascii="Cambria Math" w:hAnsi="Cambria Math" w:cs="Times New Roman"/>
                  </w:rPr>
                  <m:t>0.17</m:t>
                </m:r>
                <m:ctrlPr>
                  <w:rPr>
                    <w:rFonts w:ascii="Cambria Math" w:hAnsi="Cambria Math" w:cs="Times New Roman"/>
                    <w:i/>
                  </w:rPr>
                </m:ctrlPr>
              </m:e>
              <m:sup>
                <m:r>
                  <w:rPr>
                    <w:rFonts w:hint="eastAsia" w:ascii="Cambria Math" w:hAnsi="Cambria Math" w:cs="Times New Roman"/>
                  </w:rPr>
                  <m:t>2</m:t>
                </m:r>
                <m:ctrlPr>
                  <w:rPr>
                    <w:rFonts w:ascii="Cambria Math" w:hAnsi="Cambria Math" w:cs="Times New Roman"/>
                    <w:i/>
                  </w:rPr>
                </m:ctrlPr>
              </m:sup>
            </m:sSup>
            <m:ctrlPr>
              <w:rPr>
                <w:rFonts w:ascii="Cambria Math" w:hAnsi="Cambria Math" w:cs="Times New Roman"/>
                <w:i/>
              </w:rPr>
            </m:ctrlPr>
          </m:e>
        </m:rad>
        <m:r>
          <m:rPr>
            <m:sty m:val="p"/>
          </m:rPr>
          <w:rPr>
            <w:rFonts w:hint="eastAsia" w:ascii="Cambria Math" w:hAnsi="Cambria Math" w:cs="Times New Roman"/>
          </w:rPr>
          <m:t>=</m:t>
        </m:r>
        <m:r>
          <m:rPr>
            <m:sty m:val="p"/>
          </m:rPr>
          <w:rPr>
            <w:rFonts w:ascii="Cambria Math" w:hAnsi="Cambria Math" w:cs="Times New Roman"/>
          </w:rPr>
          <m:t>0.47</m:t>
        </m:r>
      </m:oMath>
      <w:r>
        <w:rPr>
          <w:rFonts w:hint="eastAsia" w:cs="Times New Roman"/>
        </w:rPr>
        <w:t xml:space="preserve"> </w:t>
      </w:r>
      <w:r>
        <w:rPr>
          <w:rFonts w:cs="Times New Roman"/>
        </w:rPr>
        <w:t>kN•m</w:t>
      </w:r>
    </w:p>
    <w:p>
      <w:pPr>
        <w:numPr>
          <w:ilvl w:val="1"/>
          <w:numId w:val="2"/>
        </w:numPr>
        <w:ind w:left="426" w:firstLineChars="0"/>
        <w:rPr>
          <w:rFonts w:cs="Times New Roman"/>
        </w:rPr>
      </w:pPr>
      <w:r>
        <w:rPr>
          <w:rFonts w:hint="eastAsia" w:cs="Times New Roman"/>
        </w:rPr>
        <w:t>扩展标准不确定度</w:t>
      </w:r>
    </w:p>
    <w:p>
      <w:pPr>
        <w:rPr>
          <w:rFonts w:cs="Times New Roman"/>
        </w:rPr>
      </w:pPr>
      <w:r>
        <w:rPr>
          <w:rFonts w:hint="eastAsia" w:cs="Times New Roman"/>
        </w:rPr>
        <w:t>试验机旋转扭矩示值误差测量结果近似为正态分布，取</w:t>
      </w:r>
      <w:r>
        <w:rPr>
          <w:rFonts w:hint="eastAsia" w:cs="Times New Roman"/>
          <w:i/>
        </w:rPr>
        <w:t>k=</w:t>
      </w:r>
      <w:r>
        <w:rPr>
          <w:rFonts w:hint="eastAsia" w:cs="Times New Roman"/>
        </w:rPr>
        <w:t>2，扩展不确定度为：</w:t>
      </w:r>
    </w:p>
    <w:p>
      <w:pPr>
        <w:ind w:firstLine="0" w:firstLineChars="0"/>
        <w:jc w:val="center"/>
        <w:rPr>
          <w:rFonts w:cs="Times New Roman"/>
        </w:rPr>
      </w:pPr>
      <m:oMath>
        <m:r>
          <w:rPr>
            <w:rFonts w:ascii="Cambria Math" w:hAnsi="Cambria Math" w:cs="Times New Roman"/>
          </w:rPr>
          <m:t>U=k</m:t>
        </m:r>
        <m:sSub>
          <m:sSubPr>
            <m:ctrlPr>
              <w:rPr>
                <w:rFonts w:ascii="Cambria Math" w:hAnsi="Cambria Math" w:cs="Times New Roman"/>
                <w:i/>
              </w:rPr>
            </m:ctrlPr>
          </m:sSubPr>
          <m:e>
            <m:r>
              <w:rPr>
                <w:rFonts w:ascii="Cambria Math" w:hAnsi="Cambria Math" w:cs="Times New Roman"/>
              </w:rPr>
              <m:t>u</m:t>
            </m:r>
            <m:ctrlPr>
              <w:rPr>
                <w:rFonts w:ascii="Cambria Math" w:hAnsi="Cambria Math" w:cs="Times New Roman"/>
                <w:i/>
              </w:rPr>
            </m:ctrlPr>
          </m:e>
          <m:sub>
            <m:r>
              <w:rPr>
                <w:rFonts w:ascii="Cambria Math" w:hAnsi="Cambria Math" w:cs="Times New Roman"/>
              </w:rPr>
              <m:t>c</m:t>
            </m:r>
            <m:ctrlPr>
              <w:rPr>
                <w:rFonts w:ascii="Cambria Math" w:hAnsi="Cambria Math" w:cs="Times New Roman"/>
                <w:i/>
              </w:rPr>
            </m:ctrlPr>
          </m:sub>
        </m:sSub>
        <m:r>
          <w:rPr>
            <w:rFonts w:ascii="Cambria Math" w:hAnsi="Cambria Math" w:cs="Times New Roman"/>
          </w:rPr>
          <m:t>=2×0.47</m:t>
        </m:r>
        <m:r>
          <m:rPr>
            <m:sty m:val="p"/>
          </m:rPr>
          <w:rPr>
            <w:rFonts w:ascii="Cambria Math" w:hAnsi="Cambria Math" w:cs="Times New Roman"/>
          </w:rPr>
          <m:t>=0.9</m:t>
        </m:r>
      </m:oMath>
      <w:r>
        <w:rPr>
          <w:rFonts w:hint="eastAsia" w:cs="Times New Roman"/>
        </w:rPr>
        <w:t xml:space="preserve"> </w:t>
      </w:r>
      <w:r>
        <w:rPr>
          <w:rFonts w:cs="Times New Roman"/>
        </w:rPr>
        <w:t>kN•m</w:t>
      </w:r>
    </w:p>
    <w:p/>
    <w:p/>
    <w:p>
      <w:pPr>
        <w:sectPr>
          <w:pgSz w:w="11906" w:h="16838"/>
          <w:pgMar w:top="1588" w:right="851" w:bottom="1361" w:left="1418" w:header="1134" w:footer="567" w:gutter="0"/>
          <w:cols w:space="425" w:num="1"/>
          <w:docGrid w:type="lines" w:linePitch="326" w:charSpace="0"/>
        </w:sectPr>
      </w:pPr>
    </w:p>
    <w:p>
      <w:pPr>
        <w:pStyle w:val="59"/>
        <w:spacing w:before="326" w:after="326"/>
      </w:pPr>
      <w:r>
        <w:t xml:space="preserve"> </w:t>
      </w:r>
      <w:r>
        <w:rPr>
          <w:rFonts w:hint="eastAsia"/>
        </w:rPr>
        <w:t xml:space="preserve"> </w:t>
      </w:r>
      <w:bookmarkStart w:id="47" w:name="_Toc517698359"/>
      <w:r>
        <w:rPr>
          <w:rFonts w:hint="eastAsia"/>
          <w:color w:val="FFFFFF" w:themeColor="background1"/>
          <w14:textFill>
            <w14:solidFill>
              <w14:schemeClr w14:val="bg1"/>
            </w14:solidFill>
          </w14:textFill>
        </w:rPr>
        <w:t>渗透检验参考试块裂纹长直径校准结果的测量不确定度评定</w:t>
      </w:r>
      <w:bookmarkEnd w:id="47"/>
    </w:p>
    <w:p>
      <w:pPr>
        <w:pStyle w:val="60"/>
        <w:spacing w:before="326" w:beforeLines="100" w:after="326" w:afterLines="100"/>
      </w:pPr>
      <w:r>
        <w:rPr>
          <w:rFonts w:hint="eastAsia"/>
        </w:rPr>
        <w:t>旋转角度示值误差校准结果的测量不确定度评定</w:t>
      </w:r>
    </w:p>
    <w:p>
      <w:pPr>
        <w:pStyle w:val="3"/>
        <w:numPr>
          <w:ilvl w:val="1"/>
          <w:numId w:val="2"/>
        </w:numPr>
        <w:ind w:left="426" w:firstLineChars="0"/>
      </w:pPr>
      <w:r>
        <w:rPr>
          <w:rFonts w:hint="eastAsia"/>
        </w:rPr>
        <w:t>测量方法</w:t>
      </w:r>
    </w:p>
    <w:p>
      <w:pPr>
        <w:rPr>
          <w:color w:val="C00000"/>
        </w:rPr>
      </w:pPr>
      <w:r>
        <w:rPr>
          <w:rFonts w:hint="eastAsia"/>
        </w:rPr>
        <w:t>在校准旋转角度示值误差时，当试验机达到设定的校准点自动停止旋转，试验机的角度示值与标准角度传感器显示角度之差为该校准点旋转角度示值误差。</w:t>
      </w:r>
    </w:p>
    <w:p>
      <w:pPr>
        <w:pStyle w:val="3"/>
        <w:numPr>
          <w:ilvl w:val="1"/>
          <w:numId w:val="2"/>
        </w:numPr>
        <w:ind w:left="426" w:firstLineChars="0"/>
      </w:pPr>
      <w:r>
        <w:rPr>
          <w:rFonts w:hint="eastAsia"/>
        </w:rPr>
        <w:t>测量模型</w:t>
      </w:r>
    </w:p>
    <w:p>
      <w:r>
        <w:rPr>
          <w:rFonts w:hint="eastAsia"/>
        </w:rPr>
        <w:t>由测量方法可得到测量模型为：</w:t>
      </w:r>
    </w:p>
    <w:p>
      <w:pPr>
        <w:ind w:firstLine="0" w:firstLineChars="0"/>
        <w:jc w:val="right"/>
      </w:pPr>
      <m:oMath>
        <m:r>
          <w:rPr>
            <w:rFonts w:ascii="Cambria Math" w:hAnsi="Cambria Math"/>
          </w:rPr>
          <m:t>∆=D-D'</m:t>
        </m:r>
      </m:oMath>
      <w:r>
        <w:rPr>
          <w:rFonts w:hint="eastAsia"/>
          <w:i/>
        </w:rPr>
        <w:t xml:space="preserve"> </w:t>
      </w:r>
      <w:r>
        <w:t xml:space="preserve">                                 (A.1)</w:t>
      </w:r>
    </w:p>
    <w:p>
      <w:r>
        <w:rPr>
          <w:rFonts w:hint="eastAsia"/>
        </w:rPr>
        <w:t>式中：</w:t>
      </w:r>
    </w:p>
    <w:p>
      <m:oMath>
        <m:r>
          <w:rPr>
            <w:rFonts w:ascii="Cambria Math" w:hAnsi="Cambria Math"/>
          </w:rPr>
          <m:t>∆</m:t>
        </m:r>
      </m:oMath>
      <w:r>
        <w:rPr>
          <w:rFonts w:hint="eastAsia"/>
        </w:rPr>
        <w:t>——校准点的角度示值误差，°；</w:t>
      </w:r>
    </w:p>
    <w:p>
      <w:pPr>
        <w:rPr>
          <w:rFonts w:cs="Times New Roman"/>
        </w:rPr>
      </w:pPr>
      <m:oMath>
        <m:r>
          <w:rPr>
            <w:rFonts w:ascii="Cambria Math" w:hAnsi="Cambria Math"/>
          </w:rPr>
          <m:t>D</m:t>
        </m:r>
      </m:oMath>
      <w:r>
        <w:rPr>
          <w:rFonts w:hint="eastAsia"/>
        </w:rPr>
        <w:t>——校准点的试验机角度示值，°</w:t>
      </w:r>
      <w:r>
        <w:rPr>
          <w:rFonts w:hint="eastAsia" w:cs="Times New Roman"/>
        </w:rPr>
        <w:t>；</w:t>
      </w:r>
    </w:p>
    <w:p>
      <w:pPr>
        <w:ind w:firstLine="420" w:firstLineChars="175"/>
        <w:rPr>
          <w:rFonts w:cs="Times New Roman"/>
        </w:rPr>
      </w:pPr>
      <m:oMath>
        <m:r>
          <w:rPr>
            <w:rFonts w:ascii="Cambria Math" w:hAnsi="Cambria Math"/>
          </w:rPr>
          <m:t>D'</m:t>
        </m:r>
      </m:oMath>
      <w:r>
        <w:rPr>
          <w:rFonts w:hint="eastAsia"/>
        </w:rPr>
        <w:t>——校准点的标准角度传感器（或角位移传感器）示值，°</w:t>
      </w:r>
      <w:r>
        <w:rPr>
          <w:rFonts w:hint="eastAsia" w:cs="Times New Roman"/>
        </w:rPr>
        <w:t>。</w:t>
      </w:r>
    </w:p>
    <w:p>
      <w:pPr>
        <w:pStyle w:val="3"/>
        <w:numPr>
          <w:ilvl w:val="1"/>
          <w:numId w:val="2"/>
        </w:numPr>
        <w:ind w:left="426" w:firstLineChars="0"/>
      </w:pPr>
      <w:r>
        <w:rPr>
          <w:rFonts w:hint="eastAsia"/>
        </w:rPr>
        <w:t>测量不确定度来源分析</w:t>
      </w:r>
    </w:p>
    <w:p>
      <w:r>
        <w:rPr>
          <w:rFonts w:hint="eastAsia"/>
        </w:rPr>
        <w:t>根据测量方法可知，角度示值误差测量结果的不确定度来源主要为由于标准角度传感器（或角位移传感器）示值误差引入的不确定度分量和测量重复性引入的不确定度分量。</w:t>
      </w:r>
    </w:p>
    <w:p>
      <w:pPr>
        <w:pStyle w:val="3"/>
        <w:numPr>
          <w:ilvl w:val="1"/>
          <w:numId w:val="2"/>
        </w:numPr>
        <w:ind w:left="426" w:firstLineChars="0"/>
      </w:pPr>
      <w:r>
        <w:rPr>
          <w:rFonts w:hint="eastAsia"/>
        </w:rPr>
        <w:t>不确定度传播率</w:t>
      </w:r>
    </w:p>
    <w:p>
      <w:r>
        <w:rPr>
          <w:rFonts w:hint="eastAsia"/>
        </w:rPr>
        <w:t>根据测量模型和不确定度来源分析，可得合成标准不确定度</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oMath>
      <w:r>
        <w:rPr>
          <w:rFonts w:hint="eastAsia"/>
        </w:rPr>
        <w:t>的传播率表达式为：</w:t>
      </w:r>
    </w:p>
    <w:p>
      <w:pPr>
        <w:spacing w:line="240" w:lineRule="auto"/>
        <w:ind w:firstLine="0" w:firstLineChars="0"/>
        <w:jc w:val="right"/>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m:t>
        </m:r>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i/>
              </w:rPr>
            </m:ctrlPr>
          </m:e>
        </m:rad>
      </m:oMath>
      <w:r>
        <w:rPr>
          <w:rFonts w:hint="eastAsia"/>
          <w:i/>
        </w:rPr>
        <w:t xml:space="preserve"> </w:t>
      </w:r>
      <w:r>
        <w:t xml:space="preserve">                             (A.2)</w:t>
      </w:r>
    </w:p>
    <w:p>
      <w:r>
        <w:rPr>
          <w:rFonts w:hint="eastAsia"/>
        </w:rPr>
        <w:t>式中：</w:t>
      </w:r>
    </w:p>
    <w:p>
      <w:pPr>
        <w:rPr>
          <w:rFonts w:cs="Times New Roman"/>
        </w:rPr>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oMath>
      <w:r>
        <w:rPr>
          <w:rFonts w:hint="eastAsia"/>
        </w:rPr>
        <w:t>——合成标准不确定度，</w:t>
      </w:r>
      <w:r>
        <w:rPr>
          <w:rFonts w:cs="Times New Roman"/>
        </w:rPr>
        <w:t>°</w:t>
      </w:r>
      <w:r>
        <w:rPr>
          <w:rFonts w:hint="eastAsia" w:cs="Times New Roman"/>
        </w:rPr>
        <w:t>；</w:t>
      </w:r>
    </w:p>
    <w:p>
      <w:pPr>
        <w:rPr>
          <w:rFonts w:cs="Times New Roman"/>
        </w:rPr>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hint="eastAsia" w:ascii="Cambria Math" w:hAnsi="Cambria Math"/>
              </w:rPr>
              <m:t>1</m:t>
            </m:r>
            <m:ctrlPr>
              <w:rPr>
                <w:rFonts w:ascii="Cambria Math" w:hAnsi="Cambria Math"/>
                <w:i/>
              </w:rPr>
            </m:ctrlPr>
          </m:sub>
        </m:sSub>
      </m:oMath>
      <w:r>
        <w:rPr>
          <w:rFonts w:hint="eastAsia"/>
        </w:rPr>
        <w:t>——由测量重复性引入的标准不确定度分量，</w:t>
      </w:r>
      <w:r>
        <w:rPr>
          <w:rFonts w:cs="Times New Roman"/>
        </w:rPr>
        <w:t>°</w:t>
      </w:r>
      <w:r>
        <w:rPr>
          <w:rFonts w:hint="eastAsia" w:cs="Times New Roman"/>
        </w:rPr>
        <w:t>；</w:t>
      </w:r>
    </w:p>
    <w:p>
      <w:pPr>
        <w:rPr>
          <w:rFonts w:cs="Times New Roman"/>
        </w:rPr>
      </w:pPr>
      <m:oMath>
        <m:sSub>
          <m:sSubPr>
            <m:ctrlPr>
              <w:rPr>
                <w:rFonts w:ascii="Cambria Math" w:hAnsi="Cambria Math"/>
                <w:i/>
              </w:rPr>
            </m:ctrlPr>
          </m:sSubPr>
          <m:e>
            <m:r>
              <w:rPr>
                <w:rFonts w:ascii="Cambria Math" w:hAnsi="Cambria Math"/>
              </w:rPr>
              <m:t>u</m:t>
            </m:r>
            <m:ctrlPr>
              <w:rPr>
                <w:rFonts w:ascii="Cambria Math" w:hAnsi="Cambria Math"/>
                <w:i/>
              </w:rPr>
            </m:ctrlPr>
          </m:e>
          <m:sub>
            <m:r>
              <w:rPr>
                <w:rFonts w:hint="eastAsia" w:ascii="Cambria Math" w:hAnsi="Cambria Math"/>
              </w:rPr>
              <m:t>2</m:t>
            </m:r>
            <m:ctrlPr>
              <w:rPr>
                <w:rFonts w:ascii="Cambria Math" w:hAnsi="Cambria Math"/>
                <w:i/>
              </w:rPr>
            </m:ctrlPr>
          </m:sub>
        </m:sSub>
      </m:oMath>
      <w:r>
        <w:rPr>
          <w:rFonts w:hint="eastAsia"/>
        </w:rPr>
        <w:t>——由标准角度传感器（或角位移传感器）示值误差引入的标准不确定度分量，</w:t>
      </w:r>
      <w:r>
        <w:rPr>
          <w:rFonts w:cs="Times New Roman"/>
        </w:rPr>
        <w:t>°</w:t>
      </w:r>
      <w:r>
        <w:rPr>
          <w:rFonts w:hint="eastAsia" w:cs="Times New Roman"/>
        </w:rPr>
        <w:t>。</w:t>
      </w:r>
    </w:p>
    <w:p>
      <w:pPr>
        <w:pStyle w:val="3"/>
        <w:numPr>
          <w:ilvl w:val="1"/>
          <w:numId w:val="2"/>
        </w:numPr>
        <w:ind w:left="426" w:firstLineChars="0"/>
      </w:pPr>
      <w:r>
        <w:rPr>
          <w:rFonts w:hint="eastAsia"/>
        </w:rPr>
        <w:t>标准不确定度评定</w:t>
      </w:r>
    </w:p>
    <w:p>
      <w:pPr>
        <w:pStyle w:val="3"/>
        <w:numPr>
          <w:ilvl w:val="2"/>
          <w:numId w:val="2"/>
        </w:numPr>
        <w:ind w:left="426" w:firstLineChars="0"/>
      </w:pPr>
      <w:r>
        <w:rPr>
          <w:rFonts w:hint="eastAsia"/>
        </w:rPr>
        <w:t>由测量重复性引入的不确定度分量</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hint="eastAsia" w:ascii="Cambria Math" w:hAnsi="Cambria Math"/>
              </w:rPr>
              <m:t>1</m:t>
            </m:r>
            <m:ctrlPr>
              <w:rPr>
                <w:rFonts w:ascii="Cambria Math" w:hAnsi="Cambria Math"/>
                <w:i/>
              </w:rPr>
            </m:ctrlPr>
          </m:sub>
        </m:sSub>
      </m:oMath>
    </w:p>
    <w:p>
      <w:r>
        <w:rPr>
          <w:rFonts w:hint="eastAsia"/>
        </w:rPr>
        <w:t>在重复测量条件下，进行10次重复测量。得到结果为：60.3°、60.5°、60.5°、60.3°、60.2°、60.1°、60.0°、59.6°、60.0°、60.5°，由贝塞尔公式计算得到</w:t>
      </w:r>
      <m:oMath>
        <m:r>
          <w:rPr>
            <w:rFonts w:ascii="Cambria Math" w:hAnsi="Cambria Math"/>
          </w:rPr>
          <m:t>s</m:t>
        </m:r>
      </m:oMath>
      <w:r>
        <w:rPr>
          <w:rFonts w:hint="eastAsia"/>
        </w:rPr>
        <w:t>=0.29°，则测量重复性引入的不确定度分量为：</w:t>
      </w:r>
    </w:p>
    <w:p>
      <w:pPr>
        <w:ind w:firstLine="0" w:firstLineChars="0"/>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hint="eastAsia" w:ascii="Cambria Math" w:hAnsi="Cambria Math"/>
                </w:rPr>
                <m:t>1</m:t>
              </m:r>
              <m:ctrlPr>
                <w:rPr>
                  <w:rFonts w:ascii="Cambria Math" w:hAnsi="Cambria Math"/>
                  <w:i/>
                </w:rPr>
              </m:ctrlPr>
            </m:sub>
          </m:sSub>
          <m:r>
            <w:rPr>
              <w:rFonts w:ascii="Cambria Math" w:hAnsi="Cambria Math"/>
            </w:rPr>
            <m:t>=s=</m:t>
          </m:r>
          <m:r>
            <w:rPr>
              <w:rFonts w:hint="eastAsia" w:ascii="Cambria Math" w:hAnsi="Cambria Math"/>
            </w:rPr>
            <m:t>0.29°</m:t>
          </m:r>
        </m:oMath>
      </m:oMathPara>
    </w:p>
    <w:p>
      <w:pPr>
        <w:pStyle w:val="3"/>
        <w:numPr>
          <w:ilvl w:val="2"/>
          <w:numId w:val="2"/>
        </w:numPr>
        <w:ind w:left="426" w:firstLineChars="0"/>
      </w:pPr>
      <w:r>
        <w:rPr>
          <w:rFonts w:hint="eastAsia"/>
        </w:rPr>
        <w:t>由标准角度传感器（或角位移传感器）示值误差引入的不确定度分量</w:t>
      </w:r>
      <m:oMath>
        <m:sSub>
          <m:sSubPr>
            <m:ctrlPr>
              <w:rPr>
                <w:rFonts w:ascii="Cambria Math" w:hAnsi="Cambria Math"/>
                <w:i/>
              </w:rPr>
            </m:ctrlPr>
          </m:sSubPr>
          <m:e>
            <m:r>
              <w:rPr>
                <w:rFonts w:ascii="Cambria Math" w:hAnsi="Cambria Math"/>
              </w:rPr>
              <m:t>u</m:t>
            </m:r>
            <m:ctrlPr>
              <w:rPr>
                <w:rFonts w:ascii="Cambria Math" w:hAnsi="Cambria Math"/>
                <w:i/>
              </w:rPr>
            </m:ctrlPr>
          </m:e>
          <m:sub>
            <m:r>
              <w:rPr>
                <w:rFonts w:hint="eastAsia" w:ascii="Cambria Math" w:hAnsi="Cambria Math"/>
              </w:rPr>
              <m:t>2</m:t>
            </m:r>
            <m:ctrlPr>
              <w:rPr>
                <w:rFonts w:ascii="Cambria Math" w:hAnsi="Cambria Math"/>
                <w:i/>
              </w:rPr>
            </m:ctrlPr>
          </m:sub>
        </m:sSub>
      </m:oMath>
    </w:p>
    <w:p>
      <w:pPr>
        <w:rPr>
          <w:rFonts w:cs="Times New Roman"/>
        </w:rPr>
      </w:pPr>
      <w:r>
        <w:rPr>
          <w:rFonts w:hint="eastAsia"/>
        </w:rPr>
        <w:t>经检定合格的标准角度传感器（或角位移传感器）示值误差最大允许误差为±</w:t>
      </w:r>
      <w:r>
        <w:t>0.1</w:t>
      </w:r>
      <w:r>
        <w:rPr>
          <w:rFonts w:cs="Times New Roman"/>
        </w:rPr>
        <w:t>°</w:t>
      </w:r>
      <w:r>
        <w:rPr>
          <w:rFonts w:hint="eastAsia" w:cs="Times New Roman"/>
        </w:rPr>
        <w:t>，置信区间半宽则为</w:t>
      </w:r>
      <w:r>
        <w:rPr>
          <w:rFonts w:hint="eastAsia" w:cs="Times New Roman"/>
          <w:i/>
        </w:rPr>
        <w:t>a=</w:t>
      </w:r>
      <w:r>
        <w:rPr>
          <w:rFonts w:cs="Times New Roman"/>
        </w:rPr>
        <w:t>0.</w:t>
      </w:r>
      <w:r>
        <w:rPr>
          <w:rFonts w:hint="eastAsia" w:cs="Times New Roman"/>
        </w:rPr>
        <w:t>1</w:t>
      </w:r>
      <w:r>
        <w:rPr>
          <w:rFonts w:cs="Times New Roman"/>
        </w:rPr>
        <w:t>°</w:t>
      </w:r>
      <w:r>
        <w:rPr>
          <w:rFonts w:hint="eastAsia" w:cs="Times New Roman"/>
        </w:rPr>
        <w:t>，在区间内均匀分布，</w:t>
      </w:r>
      <w:r>
        <w:rPr>
          <w:rFonts w:hint="eastAsia" w:cs="Times New Roman"/>
          <w:i/>
        </w:rPr>
        <w:t>k</w:t>
      </w:r>
      <w:r>
        <w:rPr>
          <w:rFonts w:hint="eastAsia" w:cs="Times New Roman"/>
        </w:rPr>
        <w:t>=根号3。则由</w:t>
      </w:r>
      <w:r>
        <w:rPr>
          <w:rFonts w:hint="eastAsia"/>
        </w:rPr>
        <w:t>标准角度传感器（或角位移传感器）示值误差</w:t>
      </w:r>
      <w:r>
        <w:rPr>
          <w:rFonts w:hint="eastAsia" w:cs="Times New Roman"/>
        </w:rPr>
        <w:t>引入的不确定度分量为：</w:t>
      </w:r>
    </w:p>
    <w:p>
      <w:pPr>
        <w:spacing w:line="240" w:lineRule="auto"/>
        <w:ind w:firstLine="0" w:firstLineChars="0"/>
        <w:rPr>
          <w:rFonts w:cs="Times New Roman"/>
        </w:rPr>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hint="eastAsia" w:ascii="Cambria Math" w:hAnsi="Cambria Math"/>
                </w:rPr>
                <m:t>2</m:t>
              </m:r>
              <m:ctrlPr>
                <w:rPr>
                  <w:rFonts w:ascii="Cambria Math" w:hAnsi="Cambria Math"/>
                  <w:i/>
                </w:rPr>
              </m:ctrlPr>
            </m:sub>
          </m:sSub>
          <m:r>
            <w:rPr>
              <w:rFonts w:hint="eastAsia" w:ascii="Cambria Math" w:hAnsi="Cambria Math"/>
            </w:rPr>
            <m:t>=</m:t>
          </m:r>
          <m:f>
            <m:fPr>
              <m:ctrlPr>
                <w:rPr>
                  <w:rFonts w:ascii="Cambria Math" w:hAnsi="Cambria Math"/>
                  <w:i/>
                </w:rPr>
              </m:ctrlPr>
            </m:fPr>
            <m:num>
              <m:r>
                <w:rPr>
                  <w:rFonts w:ascii="Cambria Math" w:hAnsi="Cambria Math"/>
                </w:rPr>
                <m:t>a</m:t>
              </m:r>
              <m:ctrlPr>
                <w:rPr>
                  <w:rFonts w:ascii="Cambria Math" w:hAnsi="Cambria Math"/>
                  <w:i/>
                </w:rPr>
              </m:ctrlPr>
            </m:num>
            <m:den>
              <m:rad>
                <m:radPr>
                  <m:degHide m:val="1"/>
                  <m:ctrlPr>
                    <w:rPr>
                      <w:rFonts w:ascii="Cambria Math" w:hAnsi="Cambria Math"/>
                      <w:i/>
                    </w:rPr>
                  </m:ctrlPr>
                </m:radPr>
                <m:deg>
                  <m:ctrlPr>
                    <w:rPr>
                      <w:rFonts w:ascii="Cambria Math" w:hAnsi="Cambria Math"/>
                      <w:i/>
                    </w:rPr>
                  </m:ctrlPr>
                </m:deg>
                <m:e>
                  <m:r>
                    <w:rPr>
                      <w:rFonts w:ascii="Cambria Math" w:hAnsi="Cambria Math"/>
                    </w:rPr>
                    <m:t>3</m:t>
                  </m:r>
                  <m:ctrlPr>
                    <w:rPr>
                      <w:rFonts w:ascii="Cambria Math" w:hAnsi="Cambria Math"/>
                      <w:i/>
                    </w:rPr>
                  </m:ctrlPr>
                </m:e>
              </m:rad>
              <m:ctrlPr>
                <w:rPr>
                  <w:rFonts w:ascii="Cambria Math" w:hAnsi="Cambria Math"/>
                  <w:i/>
                </w:rPr>
              </m:ctrlPr>
            </m:den>
          </m:f>
          <m:r>
            <m:rPr>
              <m:sty m:val="p"/>
            </m:rPr>
            <w:rPr>
              <w:rFonts w:ascii="Cambria Math" w:hAnsi="Cambria Math" w:cs="Times New Roman"/>
            </w:rPr>
            <m:t>=</m:t>
          </m:r>
          <m:f>
            <m:fPr>
              <m:ctrlPr>
                <w:rPr>
                  <w:rFonts w:ascii="Cambria Math" w:hAnsi="Cambria Math" w:cs="Times New Roman"/>
                </w:rPr>
              </m:ctrlPr>
            </m:fPr>
            <m:num>
              <m:r>
                <w:rPr>
                  <w:rFonts w:ascii="Cambria Math" w:hAnsi="Cambria Math" w:cs="Times New Roman"/>
                </w:rPr>
                <m:t>0.</m:t>
              </m:r>
              <m:r>
                <w:rPr>
                  <w:rFonts w:hint="eastAsia" w:ascii="Cambria Math" w:hAnsi="Cambria Math" w:cs="Times New Roman"/>
                </w:rPr>
                <m:t>1</m:t>
              </m:r>
              <m:ctrlPr>
                <w:rPr>
                  <w:rFonts w:ascii="Cambria Math" w:hAnsi="Cambria Math" w:cs="Times New Roman"/>
                </w:rPr>
              </m:ctrlPr>
            </m:num>
            <m:den>
              <m:rad>
                <m:radPr>
                  <m:degHide m:val="1"/>
                  <m:ctrlPr>
                    <w:rPr>
                      <w:rFonts w:ascii="Cambria Math" w:hAnsi="Cambria Math" w:cs="Times New Roman"/>
                      <w:i/>
                    </w:rPr>
                  </m:ctrlPr>
                </m:radPr>
                <m:deg>
                  <m:ctrlPr>
                    <w:rPr>
                      <w:rFonts w:ascii="Cambria Math" w:hAnsi="Cambria Math" w:cs="Times New Roman"/>
                      <w:i/>
                    </w:rPr>
                  </m:ctrlPr>
                </m:deg>
                <m:e>
                  <m:r>
                    <w:rPr>
                      <w:rFonts w:ascii="Cambria Math" w:hAnsi="Cambria Math" w:cs="Times New Roman"/>
                    </w:rPr>
                    <m:t>3</m:t>
                  </m:r>
                  <m:ctrlPr>
                    <w:rPr>
                      <w:rFonts w:ascii="Cambria Math" w:hAnsi="Cambria Math" w:cs="Times New Roman"/>
                      <w:i/>
                    </w:rPr>
                  </m:ctrlPr>
                </m:e>
              </m:rad>
              <m:ctrlPr>
                <w:rPr>
                  <w:rFonts w:ascii="Cambria Math" w:hAnsi="Cambria Math" w:cs="Times New Roman"/>
                </w:rPr>
              </m:ctrlPr>
            </m:den>
          </m:f>
          <m:r>
            <w:rPr>
              <w:rFonts w:ascii="Cambria Math" w:hAnsi="Cambria Math" w:cs="Times New Roman"/>
            </w:rPr>
            <m:t>=0.0</m:t>
          </m:r>
          <m:r>
            <w:rPr>
              <w:rFonts w:hint="eastAsia" w:ascii="Cambria Math" w:hAnsi="Cambria Math" w:cs="Times New Roman"/>
            </w:rPr>
            <m:t>56</m:t>
          </m:r>
          <m:r>
            <m:rPr>
              <m:sty m:val="p"/>
            </m:rPr>
            <w:rPr>
              <w:rFonts w:ascii="Cambria Math" w:hAnsi="Cambria Math" w:cs="Times New Roman"/>
            </w:rPr>
            <m:t>°</m:t>
          </m:r>
        </m:oMath>
      </m:oMathPara>
    </w:p>
    <w:p>
      <w:pPr>
        <w:pStyle w:val="3"/>
        <w:numPr>
          <w:ilvl w:val="1"/>
          <w:numId w:val="2"/>
        </w:numPr>
        <w:ind w:left="426" w:firstLineChars="0"/>
      </w:pPr>
      <w:r>
        <w:rPr>
          <w:rFonts w:hint="eastAsia"/>
        </w:rPr>
        <w:t>合成标准不确定度</w:t>
      </w:r>
    </w:p>
    <w:p>
      <w:r>
        <w:rPr>
          <w:rFonts w:hint="eastAsia"/>
        </w:rPr>
        <w:t>标准不确定度分量汇总表见。</w:t>
      </w:r>
    </w:p>
    <w:p>
      <w:pPr>
        <w:pStyle w:val="54"/>
      </w:pPr>
      <w:r>
        <w:rPr>
          <w:rFonts w:hint="eastAsia"/>
        </w:rPr>
        <w:t>表A.2</w:t>
      </w:r>
      <w:r>
        <w:t xml:space="preserve">  </w:t>
      </w:r>
      <w:r>
        <w:rPr>
          <w:rFonts w:hint="eastAsia"/>
        </w:rPr>
        <w:t>标准不确定度分量汇总表</w:t>
      </w:r>
    </w:p>
    <w:tbl>
      <w:tblPr>
        <w:tblStyle w:val="17"/>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985"/>
        <w:gridCol w:w="2976"/>
        <w:gridCol w:w="1560"/>
        <w:gridCol w:w="1275"/>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5"/>
            </w:pPr>
            <w:r>
              <w:rPr>
                <w:rFonts w:hint="eastAsia"/>
              </w:rPr>
              <w:t>序号</w:t>
            </w:r>
          </w:p>
        </w:tc>
        <w:tc>
          <w:tcPr>
            <w:tcW w:w="1985" w:type="dxa"/>
            <w:vAlign w:val="center"/>
          </w:tcPr>
          <w:p>
            <w:pPr>
              <w:pStyle w:val="55"/>
            </w:pPr>
            <w:r>
              <w:rPr>
                <w:rFonts w:hint="eastAsia"/>
              </w:rPr>
              <w:t>标准不确定度分量</w:t>
            </w:r>
          </w:p>
          <w:p>
            <w:pPr>
              <w:pStyle w:val="55"/>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i</m:t>
                    </m:r>
                    <m:ctrlPr>
                      <w:rPr>
                        <w:rFonts w:ascii="Cambria Math" w:hAnsi="Cambria Math"/>
                        <w:i/>
                      </w:rPr>
                    </m:ctrlPr>
                  </m:sub>
                </m:sSub>
              </m:oMath>
            </m:oMathPara>
          </w:p>
        </w:tc>
        <w:tc>
          <w:tcPr>
            <w:tcW w:w="2976" w:type="dxa"/>
            <w:vAlign w:val="center"/>
          </w:tcPr>
          <w:p>
            <w:pPr>
              <w:pStyle w:val="55"/>
            </w:pPr>
            <w:r>
              <w:rPr>
                <w:rFonts w:hint="eastAsia"/>
              </w:rPr>
              <w:t>不确定度来源</w:t>
            </w:r>
          </w:p>
        </w:tc>
        <w:tc>
          <w:tcPr>
            <w:tcW w:w="1560" w:type="dxa"/>
            <w:vAlign w:val="center"/>
          </w:tcPr>
          <w:p>
            <w:pPr>
              <w:pStyle w:val="55"/>
            </w:pPr>
            <w:r>
              <w:rPr>
                <w:rFonts w:hint="eastAsia"/>
              </w:rPr>
              <w:t>标准不确定值</w:t>
            </w:r>
          </w:p>
          <w:p>
            <w:pPr>
              <w:pStyle w:val="55"/>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i</m:t>
                    </m:r>
                    <m:ctrlPr>
                      <w:rPr>
                        <w:rFonts w:ascii="Cambria Math" w:hAnsi="Cambria Math"/>
                        <w:i/>
                      </w:rPr>
                    </m:ctrlPr>
                  </m:sub>
                </m:sSub>
              </m:oMath>
            </m:oMathPara>
          </w:p>
        </w:tc>
        <w:tc>
          <w:tcPr>
            <w:tcW w:w="1275" w:type="dxa"/>
            <w:vAlign w:val="center"/>
          </w:tcPr>
          <w:p>
            <w:pPr>
              <w:pStyle w:val="55"/>
            </w:pPr>
            <w:r>
              <w:rPr>
                <w:rFonts w:hint="eastAsia"/>
              </w:rPr>
              <w:t>灵敏度系数</w:t>
            </w:r>
          </w:p>
          <w:p>
            <w:pPr>
              <w:pStyle w:val="55"/>
            </w:pPr>
            <m:oMathPara>
              <m:oMath>
                <m:sSub>
                  <m:sSubPr>
                    <m:ctrlPr>
                      <w:rPr>
                        <w:rFonts w:ascii="Cambria Math" w:hAnsi="Cambria Math"/>
                        <w:i/>
                      </w:rPr>
                    </m:ctrlPr>
                  </m:sSubPr>
                  <m:e>
                    <m:r>
                      <w:rPr>
                        <w:rFonts w:hint="eastAsia" w:ascii="Cambria Math" w:hAnsi="Cambria Math"/>
                      </w:rPr>
                      <m:t>c</m:t>
                    </m:r>
                    <m:ctrlPr>
                      <w:rPr>
                        <w:rFonts w:ascii="Cambria Math" w:hAnsi="Cambria Math"/>
                        <w:i/>
                      </w:rPr>
                    </m:ctrlPr>
                  </m:e>
                  <m:sub>
                    <m:r>
                      <w:rPr>
                        <w:rFonts w:ascii="Cambria Math" w:hAnsi="Cambria Math"/>
                      </w:rPr>
                      <m:t>i</m:t>
                    </m:r>
                    <m:ctrlPr>
                      <w:rPr>
                        <w:rFonts w:ascii="Cambria Math" w:hAnsi="Cambria Math"/>
                        <w:i/>
                      </w:rPr>
                    </m:ctrlPr>
                  </m:sub>
                </m:sSub>
              </m:oMath>
            </m:oMathPara>
          </w:p>
        </w:tc>
        <w:tc>
          <w:tcPr>
            <w:tcW w:w="1127" w:type="dxa"/>
            <w:vAlign w:val="center"/>
          </w:tcPr>
          <w:p>
            <w:pPr>
              <w:pStyle w:val="55"/>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ctrlPr>
                          <w:rPr>
                            <w:rFonts w:ascii="Cambria Math" w:hAnsi="Cambria Math"/>
                            <w:i/>
                          </w:rPr>
                        </m:ctrlPr>
                      </m:e>
                      <m:sub>
                        <m:r>
                          <w:rPr>
                            <w:rFonts w:ascii="Cambria Math" w:hAnsi="Cambria Math"/>
                          </w:rPr>
                          <m:t>i</m:t>
                        </m:r>
                        <m:ctrlPr>
                          <w:rPr>
                            <w:rFonts w:ascii="Cambria Math" w:hAnsi="Cambria Math"/>
                            <w:i/>
                          </w:rPr>
                        </m:ctrlPr>
                      </m:sub>
                    </m:sSub>
                    <m:ctrlPr>
                      <w:rPr>
                        <w:rFonts w:ascii="Cambria Math" w:hAnsi="Cambria Math"/>
                        <w:i/>
                      </w:rPr>
                    </m:ctrlPr>
                  </m:e>
                </m:d>
                <m:r>
                  <w:rPr>
                    <w:rFonts w:ascii="Cambria Math" w:hAnsi="Cambria Math"/>
                  </w:rPr>
                  <m:t>×</m:t>
                </m:r>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i</m:t>
                    </m:r>
                    <m:ctrlPr>
                      <w:rPr>
                        <w:rFonts w:ascii="Cambria Math" w:hAnsi="Cambria Math"/>
                        <w:i/>
                      </w:rPr>
                    </m:ctrlPr>
                  </m:sub>
                </m:sSub>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5"/>
            </w:pPr>
            <w:r>
              <w:rPr>
                <w:rFonts w:hint="eastAsia"/>
              </w:rPr>
              <w:t>1</w:t>
            </w:r>
          </w:p>
        </w:tc>
        <w:tc>
          <w:tcPr>
            <w:tcW w:w="1985" w:type="dxa"/>
            <w:vAlign w:val="center"/>
          </w:tcPr>
          <w:p>
            <w:pPr>
              <w:pStyle w:val="55"/>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1</m:t>
                    </m:r>
                    <m:ctrlPr>
                      <w:rPr>
                        <w:rFonts w:ascii="Cambria Math" w:hAnsi="Cambria Math"/>
                        <w:i/>
                      </w:rPr>
                    </m:ctrlPr>
                  </m:sub>
                </m:sSub>
              </m:oMath>
            </m:oMathPara>
          </w:p>
        </w:tc>
        <w:tc>
          <w:tcPr>
            <w:tcW w:w="2976" w:type="dxa"/>
            <w:vAlign w:val="center"/>
          </w:tcPr>
          <w:p>
            <w:pPr>
              <w:pStyle w:val="55"/>
            </w:pPr>
            <w:r>
              <w:rPr>
                <w:rFonts w:hint="eastAsia"/>
              </w:rPr>
              <w:t>测量重复性</w:t>
            </w:r>
          </w:p>
        </w:tc>
        <w:tc>
          <w:tcPr>
            <w:tcW w:w="1560" w:type="dxa"/>
            <w:vAlign w:val="center"/>
          </w:tcPr>
          <w:p>
            <w:pPr>
              <w:pStyle w:val="55"/>
            </w:pPr>
            <w:r>
              <w:rPr>
                <w:rFonts w:hint="eastAsia"/>
              </w:rPr>
              <w:t>0.29</w:t>
            </w:r>
            <w:r>
              <w:rPr>
                <w:rFonts w:cs="Times New Roman"/>
              </w:rPr>
              <w:t>°</w:t>
            </w:r>
          </w:p>
        </w:tc>
        <w:tc>
          <w:tcPr>
            <w:tcW w:w="1275" w:type="dxa"/>
            <w:vAlign w:val="center"/>
          </w:tcPr>
          <w:p>
            <w:pPr>
              <w:pStyle w:val="55"/>
            </w:pPr>
            <w:r>
              <w:rPr>
                <w:rFonts w:hint="eastAsia"/>
              </w:rPr>
              <w:t>1</w:t>
            </w:r>
          </w:p>
        </w:tc>
        <w:tc>
          <w:tcPr>
            <w:tcW w:w="1127" w:type="dxa"/>
            <w:vAlign w:val="center"/>
          </w:tcPr>
          <w:p>
            <w:pPr>
              <w:pStyle w:val="55"/>
            </w:pPr>
            <w:r>
              <w:rPr>
                <w:rFonts w:hint="eastAsia"/>
              </w:rPr>
              <w:t>0.29</w:t>
            </w:r>
            <w:r>
              <w:rPr>
                <w:rFonts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Align w:val="center"/>
          </w:tcPr>
          <w:p>
            <w:pPr>
              <w:pStyle w:val="55"/>
            </w:pPr>
            <w:r>
              <w:rPr>
                <w:rFonts w:hint="eastAsia"/>
              </w:rPr>
              <w:t>2</w:t>
            </w:r>
          </w:p>
        </w:tc>
        <w:tc>
          <w:tcPr>
            <w:tcW w:w="1985" w:type="dxa"/>
            <w:vAlign w:val="center"/>
          </w:tcPr>
          <w:p>
            <w:pPr>
              <w:pStyle w:val="55"/>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2</m:t>
                    </m:r>
                    <m:ctrlPr>
                      <w:rPr>
                        <w:rFonts w:ascii="Cambria Math" w:hAnsi="Cambria Math"/>
                        <w:i/>
                      </w:rPr>
                    </m:ctrlPr>
                  </m:sub>
                </m:sSub>
              </m:oMath>
            </m:oMathPara>
          </w:p>
        </w:tc>
        <w:tc>
          <w:tcPr>
            <w:tcW w:w="2976" w:type="dxa"/>
            <w:vAlign w:val="center"/>
          </w:tcPr>
          <w:p>
            <w:pPr>
              <w:pStyle w:val="55"/>
            </w:pPr>
            <w:r>
              <w:rPr>
                <w:rFonts w:hint="eastAsia"/>
              </w:rPr>
              <w:t>标准角度传感器（或角位移传感器）示值误差</w:t>
            </w:r>
          </w:p>
        </w:tc>
        <w:tc>
          <w:tcPr>
            <w:tcW w:w="1560" w:type="dxa"/>
            <w:vAlign w:val="center"/>
          </w:tcPr>
          <w:p>
            <w:pPr>
              <w:pStyle w:val="55"/>
            </w:pPr>
            <w:r>
              <w:t>0.0</w:t>
            </w:r>
            <w:r>
              <w:rPr>
                <w:rFonts w:hint="eastAsia"/>
              </w:rPr>
              <w:t>56</w:t>
            </w:r>
            <w:r>
              <w:rPr>
                <w:rFonts w:cs="Times New Roman"/>
              </w:rPr>
              <w:t>°</w:t>
            </w:r>
          </w:p>
        </w:tc>
        <w:tc>
          <w:tcPr>
            <w:tcW w:w="1275" w:type="dxa"/>
            <w:vAlign w:val="center"/>
          </w:tcPr>
          <w:p>
            <w:pPr>
              <w:pStyle w:val="55"/>
            </w:pPr>
            <w:r>
              <w:rPr>
                <w:rFonts w:hint="eastAsia"/>
              </w:rPr>
              <w:t>1</w:t>
            </w:r>
          </w:p>
        </w:tc>
        <w:tc>
          <w:tcPr>
            <w:tcW w:w="1127" w:type="dxa"/>
            <w:vAlign w:val="center"/>
          </w:tcPr>
          <w:p>
            <w:pPr>
              <w:pStyle w:val="55"/>
            </w:pPr>
            <w:r>
              <w:rPr>
                <w:rFonts w:hint="eastAsia"/>
              </w:rPr>
              <w:t>0.056</w:t>
            </w:r>
            <w:r>
              <w:rPr>
                <w:rFonts w:cs="Times New Roman"/>
              </w:rPr>
              <w:t>°</w:t>
            </w:r>
          </w:p>
        </w:tc>
      </w:tr>
    </w:tbl>
    <w:p>
      <w:pPr>
        <w:ind w:firstLineChars="0"/>
      </w:pPr>
      <w:r>
        <w:rPr>
          <w:rFonts w:hint="eastAsia"/>
        </w:rPr>
        <w:t>合成标准不确定度为：</w:t>
      </w:r>
    </w:p>
    <w:p>
      <w:pPr>
        <w:spacing w:line="240" w:lineRule="auto"/>
        <w:ind w:firstLine="0" w:firstLineChars="0"/>
      </w:pPr>
      <m:oMathPara>
        <m:oMath>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m:t>
          </m:r>
          <m:rad>
            <m:radPr>
              <m:degHide m:val="1"/>
              <m:ctrlPr>
                <w:rPr>
                  <w:rFonts w:ascii="Cambria Math" w:hAnsi="Cambria Math"/>
                  <w:i/>
                </w:rPr>
              </m:ctrlPr>
            </m:radPr>
            <m:deg>
              <m:ctrlPr>
                <w:rPr>
                  <w:rFonts w:ascii="Cambria Math" w:hAnsi="Cambria Math"/>
                  <w:i/>
                </w:rPr>
              </m:ctrlPr>
            </m:deg>
            <m:e>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1</m:t>
                  </m:r>
                  <m:ctrlPr>
                    <w:rPr>
                      <w:rFonts w:ascii="Cambria Math" w:hAnsi="Cambria Math"/>
                      <w:i/>
                    </w:rPr>
                  </m:ctrlPr>
                </m:sub>
                <m:sup>
                  <m:r>
                    <w:rPr>
                      <w:rFonts w:ascii="Cambria Math" w:hAnsi="Cambria Math"/>
                    </w:rPr>
                    <m:t>2</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u</m:t>
                  </m:r>
                  <m:ctrlPr>
                    <w:rPr>
                      <w:rFonts w:ascii="Cambria Math" w:hAnsi="Cambria Math"/>
                      <w:i/>
                    </w:rPr>
                  </m:ctrlPr>
                </m:e>
                <m:sub>
                  <m:r>
                    <w:rPr>
                      <w:rFonts w:ascii="Cambria Math" w:hAnsi="Cambria Math"/>
                    </w:rPr>
                    <m:t>2</m:t>
                  </m:r>
                  <m:ctrlPr>
                    <w:rPr>
                      <w:rFonts w:ascii="Cambria Math" w:hAnsi="Cambria Math"/>
                      <w:i/>
                    </w:rPr>
                  </m:ctrlPr>
                </m:sub>
                <m:sup>
                  <m:r>
                    <w:rPr>
                      <w:rFonts w:ascii="Cambria Math" w:hAnsi="Cambria Math"/>
                    </w:rPr>
                    <m:t>2</m:t>
                  </m:r>
                  <m:ctrlPr>
                    <w:rPr>
                      <w:rFonts w:ascii="Cambria Math" w:hAnsi="Cambria Math"/>
                      <w:i/>
                    </w:rPr>
                  </m:ctrlPr>
                </m:sup>
              </m:sSubSup>
              <m:ctrlPr>
                <w:rPr>
                  <w:rFonts w:ascii="Cambria Math" w:hAnsi="Cambria Math"/>
                  <w:i/>
                </w:rPr>
              </m:ctrlPr>
            </m:e>
          </m:rad>
          <m:r>
            <w:rPr>
              <w:rFonts w:hint="eastAsia" w:ascii="Cambria Math" w:hAnsi="Cambria Math"/>
            </w:rPr>
            <m:t>=</m:t>
          </m:r>
          <m:rad>
            <m:radPr>
              <m:degHide m:val="1"/>
              <m:ctrlPr>
                <w:rPr>
                  <w:rFonts w:ascii="Cambria Math" w:hAnsi="Cambria Math"/>
                  <w:i/>
                </w:rPr>
              </m:ctrlPr>
            </m:radPr>
            <m:deg>
              <m:ctrlPr>
                <w:rPr>
                  <w:rFonts w:ascii="Cambria Math" w:hAnsi="Cambria Math"/>
                  <w:i/>
                </w:rPr>
              </m:ctrlPr>
            </m:deg>
            <m:e>
              <m:sSup>
                <m:sSupPr>
                  <m:ctrlPr>
                    <w:rPr>
                      <w:rFonts w:ascii="Cambria Math" w:hAnsi="Cambria Math"/>
                      <w:i/>
                    </w:rPr>
                  </m:ctrlPr>
                </m:sSupPr>
                <m:e>
                  <m:r>
                    <w:rPr>
                      <w:rFonts w:hint="eastAsia" w:ascii="Cambria Math" w:hAnsi="Cambria Math"/>
                    </w:rPr>
                    <m:t>0.23</m:t>
                  </m:r>
                  <m:ctrlPr>
                    <w:rPr>
                      <w:rFonts w:ascii="Cambria Math" w:hAnsi="Cambria Math"/>
                      <w:i/>
                    </w:rPr>
                  </m:ctrlPr>
                </m:e>
                <m:sup>
                  <m:r>
                    <w:rPr>
                      <w:rFonts w:hint="eastAsia" w:ascii="Cambria Math" w:hAnsi="Cambria Math"/>
                    </w:rPr>
                    <m:t>2</m:t>
                  </m:r>
                  <m:ctrlPr>
                    <w:rPr>
                      <w:rFonts w:ascii="Cambria Math" w:hAnsi="Cambria Math"/>
                      <w:i/>
                    </w:rPr>
                  </m:ctrlPr>
                </m:sup>
              </m:sSup>
              <m:r>
                <w:rPr>
                  <w:rFonts w:hint="eastAsia" w:ascii="Cambria Math" w:hAnsi="Cambria Math"/>
                </w:rPr>
                <m:t>+</m:t>
              </m:r>
              <m:sSup>
                <m:sSupPr>
                  <m:ctrlPr>
                    <w:rPr>
                      <w:rFonts w:ascii="Cambria Math" w:hAnsi="Cambria Math"/>
                      <w:i/>
                    </w:rPr>
                  </m:ctrlPr>
                </m:sSupPr>
                <m:e>
                  <m:r>
                    <w:rPr>
                      <w:rFonts w:hint="eastAsia" w:ascii="Cambria Math" w:hAnsi="Cambria Math"/>
                    </w:rPr>
                    <m:t>0.056</m:t>
                  </m:r>
                  <m:ctrlPr>
                    <w:rPr>
                      <w:rFonts w:ascii="Cambria Math" w:hAnsi="Cambria Math"/>
                      <w:i/>
                    </w:rPr>
                  </m:ctrlPr>
                </m:e>
                <m:sup>
                  <m:r>
                    <w:rPr>
                      <w:rFonts w:hint="eastAsia" w:ascii="Cambria Math" w:hAnsi="Cambria Math"/>
                    </w:rPr>
                    <m:t>2</m:t>
                  </m:r>
                  <m:ctrlPr>
                    <w:rPr>
                      <w:rFonts w:ascii="Cambria Math" w:hAnsi="Cambria Math"/>
                      <w:i/>
                    </w:rPr>
                  </m:ctrlPr>
                </m:sup>
              </m:sSup>
              <m:ctrlPr>
                <w:rPr>
                  <w:rFonts w:ascii="Cambria Math" w:hAnsi="Cambria Math"/>
                  <w:i/>
                </w:rPr>
              </m:ctrlPr>
            </m:e>
          </m:rad>
          <m:r>
            <m:rPr>
              <m:sty m:val="p"/>
            </m:rPr>
            <w:rPr>
              <w:rFonts w:hint="eastAsia" w:ascii="Cambria Math" w:hAnsi="Cambria Math"/>
            </w:rPr>
            <m:t>=0.30</m:t>
          </m:r>
          <m:r>
            <m:rPr>
              <m:sty m:val="p"/>
            </m:rPr>
            <w:rPr>
              <w:rFonts w:ascii="Cambria Math" w:hAnsi="Cambria Math" w:cs="Times New Roman"/>
            </w:rPr>
            <m:t>°</m:t>
          </m:r>
        </m:oMath>
      </m:oMathPara>
    </w:p>
    <w:p>
      <w:pPr>
        <w:pStyle w:val="3"/>
        <w:numPr>
          <w:ilvl w:val="1"/>
          <w:numId w:val="2"/>
        </w:numPr>
        <w:ind w:left="426" w:firstLineChars="0"/>
      </w:pPr>
      <w:r>
        <w:rPr>
          <w:rFonts w:hint="eastAsia"/>
        </w:rPr>
        <w:t>扩展标准不确定度</w:t>
      </w:r>
    </w:p>
    <w:p>
      <w:r>
        <w:rPr>
          <w:rFonts w:hint="eastAsia"/>
        </w:rPr>
        <w:t>旋转角度示值误差测量结果近似为正态分布，取</w:t>
      </w:r>
      <w:r>
        <w:rPr>
          <w:rFonts w:hint="eastAsia"/>
          <w:i/>
        </w:rPr>
        <w:t>k=</w:t>
      </w:r>
      <w:r>
        <w:rPr>
          <w:rFonts w:hint="eastAsia"/>
        </w:rPr>
        <w:t>2，扩展不确定度为：</w:t>
      </w:r>
    </w:p>
    <w:p>
      <w:pPr>
        <w:ind w:firstLine="0" w:firstLineChars="0"/>
      </w:pPr>
      <m:oMathPara>
        <m:oMath>
          <m:r>
            <w:rPr>
              <w:rFonts w:ascii="Cambria Math" w:hAnsi="Cambria Math"/>
            </w:rPr>
            <m:t>U=k</m:t>
          </m:r>
          <m:sSub>
            <m:sSubPr>
              <m:ctrlPr>
                <w:rPr>
                  <w:rFonts w:ascii="Cambria Math" w:hAnsi="Cambria Math"/>
                  <w:i/>
                </w:rPr>
              </m:ctrlPr>
            </m:sSubPr>
            <m:e>
              <m:r>
                <w:rPr>
                  <w:rFonts w:ascii="Cambria Math" w:hAnsi="Cambria Math"/>
                </w:rPr>
                <m:t>u</m:t>
              </m:r>
              <m:ctrlPr>
                <w:rPr>
                  <w:rFonts w:ascii="Cambria Math" w:hAnsi="Cambria Math"/>
                  <w:i/>
                </w:rPr>
              </m:ctrlPr>
            </m:e>
            <m:sub>
              <m:r>
                <w:rPr>
                  <w:rFonts w:ascii="Cambria Math" w:hAnsi="Cambria Math"/>
                </w:rPr>
                <m:t>c</m:t>
              </m:r>
              <m:ctrlPr>
                <w:rPr>
                  <w:rFonts w:ascii="Cambria Math" w:hAnsi="Cambria Math"/>
                  <w:i/>
                </w:rPr>
              </m:ctrlPr>
            </m:sub>
          </m:sSub>
          <m:r>
            <w:rPr>
              <w:rFonts w:ascii="Cambria Math" w:hAnsi="Cambria Math"/>
            </w:rPr>
            <m:t>=2×</m:t>
          </m:r>
          <m:r>
            <w:rPr>
              <w:rFonts w:hint="eastAsia" w:ascii="Cambria Math" w:hAnsi="Cambria Math"/>
            </w:rPr>
            <m:t>0.30</m:t>
          </m:r>
          <m:r>
            <m:rPr>
              <m:sty m:val="p"/>
            </m:rPr>
            <w:rPr>
              <w:rFonts w:ascii="Cambria Math" w:hAnsi="Cambria Math" w:cs="Times New Roman"/>
            </w:rPr>
            <m:t>°</m:t>
          </m:r>
          <m:r>
            <m:rPr>
              <m:sty m:val="p"/>
            </m:rPr>
            <w:rPr>
              <w:rFonts w:ascii="Cambria Math" w:hAnsi="Cambria Math"/>
            </w:rPr>
            <m:t>=</m:t>
          </m:r>
          <m:r>
            <m:rPr>
              <m:sty m:val="p"/>
            </m:rPr>
            <w:rPr>
              <w:rFonts w:hint="eastAsia" w:ascii="Cambria Math" w:hAnsi="Cambria Math"/>
            </w:rPr>
            <m:t>0.6</m:t>
          </m:r>
          <m:r>
            <m:rPr>
              <m:sty m:val="p"/>
            </m:rPr>
            <w:rPr>
              <w:rFonts w:ascii="Cambria Math" w:hAnsi="Cambria Math" w:cs="Times New Roman"/>
            </w:rPr>
            <m:t>°</m:t>
          </m:r>
        </m:oMath>
      </m:oMathPara>
    </w:p>
    <w:p/>
    <w:p/>
    <w:p/>
    <w:p>
      <w:pPr>
        <w:sectPr>
          <w:pgSz w:w="11906" w:h="16838"/>
          <w:pgMar w:top="1588" w:right="851" w:bottom="1361" w:left="1418" w:header="1134" w:footer="567" w:gutter="0"/>
          <w:cols w:space="425" w:num="1"/>
          <w:docGrid w:type="lines" w:linePitch="326" w:charSpace="0"/>
        </w:sectPr>
      </w:pPr>
    </w:p>
    <w:p>
      <w:pPr>
        <w:pStyle w:val="59"/>
        <w:spacing w:before="326" w:after="326"/>
      </w:pPr>
      <w:r>
        <w:rPr>
          <w:rFonts w:hint="eastAsia"/>
        </w:rPr>
        <w:t xml:space="preserve">  </w:t>
      </w:r>
      <w:bookmarkStart w:id="48" w:name="_Toc517698360"/>
      <w:r>
        <w:rPr>
          <w:rFonts w:hint="eastAsia"/>
          <w:color w:val="FFFFFF" w:themeColor="background1"/>
          <w14:textFill>
            <w14:solidFill>
              <w14:schemeClr w14:val="bg1"/>
            </w14:solidFill>
          </w14:textFill>
        </w:rPr>
        <w:t>校准证书内页信息及格式</w:t>
      </w:r>
      <w:bookmarkEnd w:id="48"/>
    </w:p>
    <w:p>
      <w:pPr>
        <w:pStyle w:val="60"/>
      </w:pPr>
      <w:r>
        <w:rPr>
          <w:rFonts w:hint="eastAsia"/>
        </w:rPr>
        <w:t>校准证书内页信息及格式</w:t>
      </w:r>
    </w:p>
    <w:p>
      <w:pPr>
        <w:pStyle w:val="3"/>
        <w:numPr>
          <w:ilvl w:val="1"/>
          <w:numId w:val="2"/>
        </w:numPr>
        <w:ind w:left="426" w:firstLineChars="0"/>
      </w:pPr>
      <w:r>
        <w:rPr>
          <w:rFonts w:hint="eastAsia"/>
        </w:rPr>
        <w:t>校准证书至少包括以下信息：</w:t>
      </w:r>
    </w:p>
    <w:p>
      <w:pPr>
        <w:pStyle w:val="3"/>
        <w:numPr>
          <w:ilvl w:val="0"/>
          <w:numId w:val="3"/>
        </w:numPr>
        <w:ind w:firstLineChars="0"/>
      </w:pPr>
      <w:r>
        <w:rPr>
          <w:rFonts w:hint="eastAsia"/>
        </w:rPr>
        <w:t>标题：“校准证书”；</w:t>
      </w:r>
    </w:p>
    <w:p>
      <w:pPr>
        <w:pStyle w:val="3"/>
        <w:numPr>
          <w:ilvl w:val="0"/>
          <w:numId w:val="3"/>
        </w:numPr>
        <w:ind w:firstLineChars="0"/>
      </w:pPr>
      <w:r>
        <w:rPr>
          <w:rFonts w:hint="eastAsia"/>
        </w:rPr>
        <w:t>实验室名称和地址；</w:t>
      </w:r>
    </w:p>
    <w:p>
      <w:pPr>
        <w:pStyle w:val="3"/>
        <w:numPr>
          <w:ilvl w:val="0"/>
          <w:numId w:val="3"/>
        </w:numPr>
        <w:ind w:firstLineChars="0"/>
      </w:pPr>
      <w:r>
        <w:rPr>
          <w:rFonts w:hint="eastAsia"/>
        </w:rPr>
        <w:t>进行校准的地点（如果与实验室的地址不同）；</w:t>
      </w:r>
    </w:p>
    <w:p>
      <w:pPr>
        <w:pStyle w:val="3"/>
        <w:numPr>
          <w:ilvl w:val="0"/>
          <w:numId w:val="3"/>
        </w:numPr>
        <w:ind w:firstLineChars="0"/>
      </w:pPr>
      <w:r>
        <w:rPr>
          <w:rFonts w:hint="eastAsia"/>
        </w:rPr>
        <w:t>证书的唯一性标识（如编号），每页及总页数的标识；</w:t>
      </w:r>
    </w:p>
    <w:p>
      <w:pPr>
        <w:pStyle w:val="3"/>
        <w:numPr>
          <w:ilvl w:val="0"/>
          <w:numId w:val="3"/>
        </w:numPr>
        <w:ind w:firstLineChars="0"/>
      </w:pPr>
      <w:r>
        <w:rPr>
          <w:rFonts w:hint="eastAsia"/>
        </w:rPr>
        <w:t>客户的名称和地址；</w:t>
      </w:r>
    </w:p>
    <w:p>
      <w:pPr>
        <w:pStyle w:val="3"/>
        <w:numPr>
          <w:ilvl w:val="0"/>
          <w:numId w:val="3"/>
        </w:numPr>
        <w:ind w:firstLineChars="0"/>
      </w:pPr>
      <w:r>
        <w:rPr>
          <w:rFonts w:hint="eastAsia"/>
        </w:rPr>
        <w:t>被校对象的描述和明确标识；</w:t>
      </w:r>
    </w:p>
    <w:p>
      <w:pPr>
        <w:pStyle w:val="3"/>
        <w:numPr>
          <w:ilvl w:val="0"/>
          <w:numId w:val="3"/>
        </w:numPr>
        <w:ind w:left="0" w:firstLine="480" w:firstLineChars="0"/>
      </w:pPr>
      <w:r>
        <w:rPr>
          <w:rFonts w:hint="eastAsia"/>
        </w:rPr>
        <w:t>进行校准的日期，如果与校准结果的有效性和引用相关时，应说明被校对象的接收日期；</w:t>
      </w:r>
    </w:p>
    <w:p>
      <w:pPr>
        <w:pStyle w:val="3"/>
        <w:numPr>
          <w:ilvl w:val="0"/>
          <w:numId w:val="3"/>
        </w:numPr>
        <w:ind w:firstLineChars="0"/>
      </w:pPr>
      <w:r>
        <w:rPr>
          <w:rFonts w:hint="eastAsia"/>
        </w:rPr>
        <w:t>如果与校准结果的有效性应用有关时，应对被校样品的抽样程序进行说明；</w:t>
      </w:r>
    </w:p>
    <w:p>
      <w:pPr>
        <w:pStyle w:val="3"/>
        <w:numPr>
          <w:ilvl w:val="0"/>
          <w:numId w:val="3"/>
        </w:numPr>
        <w:ind w:firstLineChars="0"/>
      </w:pPr>
      <w:r>
        <w:rPr>
          <w:rFonts w:hint="eastAsia"/>
        </w:rPr>
        <w:t>校准所依据的技术规范的标识，包括名称及代号；</w:t>
      </w:r>
    </w:p>
    <w:p>
      <w:pPr>
        <w:pStyle w:val="3"/>
        <w:numPr>
          <w:ilvl w:val="0"/>
          <w:numId w:val="3"/>
        </w:numPr>
        <w:ind w:firstLineChars="0"/>
      </w:pPr>
      <w:r>
        <w:rPr>
          <w:rFonts w:hint="eastAsia"/>
        </w:rPr>
        <w:t>本次校准所用测量标准的溯源性及有效性说明；</w:t>
      </w:r>
    </w:p>
    <w:p>
      <w:pPr>
        <w:pStyle w:val="3"/>
        <w:numPr>
          <w:ilvl w:val="0"/>
          <w:numId w:val="3"/>
        </w:numPr>
        <w:ind w:firstLineChars="0"/>
      </w:pPr>
      <w:r>
        <w:rPr>
          <w:rFonts w:hint="eastAsia"/>
        </w:rPr>
        <w:t>校准环境的描述；</w:t>
      </w:r>
    </w:p>
    <w:p>
      <w:pPr>
        <w:pStyle w:val="3"/>
        <w:numPr>
          <w:ilvl w:val="0"/>
          <w:numId w:val="3"/>
        </w:numPr>
        <w:ind w:firstLineChars="0"/>
      </w:pPr>
      <w:r>
        <w:rPr>
          <w:rFonts w:hint="eastAsia"/>
        </w:rPr>
        <w:t>校准结果及其测量不确定度的说明；</w:t>
      </w:r>
    </w:p>
    <w:p>
      <w:pPr>
        <w:pStyle w:val="3"/>
        <w:numPr>
          <w:ilvl w:val="0"/>
          <w:numId w:val="3"/>
        </w:numPr>
        <w:ind w:firstLineChars="0"/>
      </w:pPr>
      <w:r>
        <w:rPr>
          <w:rFonts w:hint="eastAsia"/>
        </w:rPr>
        <w:t>对校准规范的偏离的说明；</w:t>
      </w:r>
    </w:p>
    <w:p>
      <w:pPr>
        <w:pStyle w:val="3"/>
        <w:numPr>
          <w:ilvl w:val="0"/>
          <w:numId w:val="3"/>
        </w:numPr>
        <w:ind w:firstLineChars="0"/>
      </w:pPr>
      <w:r>
        <w:rPr>
          <w:rFonts w:hint="eastAsia"/>
        </w:rPr>
        <w:t>校准证书或校准报告签发人的签名、职务或等效标识；</w:t>
      </w:r>
    </w:p>
    <w:p>
      <w:pPr>
        <w:pStyle w:val="3"/>
        <w:numPr>
          <w:ilvl w:val="0"/>
          <w:numId w:val="3"/>
        </w:numPr>
        <w:ind w:firstLineChars="0"/>
      </w:pPr>
      <w:r>
        <w:rPr>
          <w:rFonts w:hint="eastAsia"/>
        </w:rPr>
        <w:t>校准结果仅对被校对象有效的声明；</w:t>
      </w:r>
    </w:p>
    <w:p>
      <w:pPr>
        <w:pStyle w:val="3"/>
        <w:numPr>
          <w:ilvl w:val="0"/>
          <w:numId w:val="3"/>
        </w:numPr>
        <w:ind w:firstLineChars="0"/>
      </w:pPr>
      <w:r>
        <w:rPr>
          <w:rFonts w:hint="eastAsia"/>
        </w:rPr>
        <w:t>未经实验室书面批准，不得部分复制证书的声明。</w:t>
      </w:r>
    </w:p>
    <w:p>
      <w:pPr>
        <w:pStyle w:val="3"/>
        <w:numPr>
          <w:ilvl w:val="1"/>
          <w:numId w:val="2"/>
        </w:numPr>
        <w:ind w:left="426" w:firstLineChars="0"/>
      </w:pPr>
      <w:r>
        <w:rPr>
          <w:rFonts w:hint="eastAsia"/>
        </w:rPr>
        <w:t>推荐的校准证书内页格式见表C.1。</w:t>
      </w:r>
    </w:p>
    <w:p>
      <w:pPr>
        <w:pStyle w:val="54"/>
      </w:pPr>
      <w:r>
        <w:rPr>
          <w:rFonts w:hint="eastAsia"/>
        </w:rPr>
        <w:t>表C.1</w:t>
      </w:r>
      <w:r>
        <w:t xml:space="preserve">  </w:t>
      </w:r>
      <w:r>
        <w:rPr>
          <w:rFonts w:hint="eastAsia"/>
        </w:rPr>
        <w:t>校准证书内页格式</w:t>
      </w:r>
    </w:p>
    <w:tbl>
      <w:tblPr>
        <w:tblStyle w:val="17"/>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381"/>
        <w:gridCol w:w="6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5"/>
            </w:pPr>
            <w:r>
              <w:rPr>
                <w:rFonts w:hint="eastAsia"/>
              </w:rPr>
              <w:t>序号</w:t>
            </w:r>
          </w:p>
        </w:tc>
        <w:tc>
          <w:tcPr>
            <w:tcW w:w="2381" w:type="dxa"/>
          </w:tcPr>
          <w:p>
            <w:pPr>
              <w:pStyle w:val="55"/>
            </w:pPr>
            <w:r>
              <w:rPr>
                <w:rFonts w:hint="eastAsia"/>
              </w:rPr>
              <w:t>校准项目</w:t>
            </w:r>
          </w:p>
        </w:tc>
        <w:tc>
          <w:tcPr>
            <w:tcW w:w="6542" w:type="dxa"/>
          </w:tcPr>
          <w:p>
            <w:pPr>
              <w:pStyle w:val="55"/>
            </w:pPr>
            <w:r>
              <w:rPr>
                <w:rFonts w:hint="eastAsia"/>
              </w:rPr>
              <w:t>校准结果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5"/>
            </w:pPr>
            <w:r>
              <w:rPr>
                <w:rFonts w:hint="eastAsia"/>
              </w:rPr>
              <w:t>1</w:t>
            </w:r>
          </w:p>
        </w:tc>
        <w:tc>
          <w:tcPr>
            <w:tcW w:w="2381" w:type="dxa"/>
          </w:tcPr>
          <w:p>
            <w:pPr>
              <w:pStyle w:val="55"/>
            </w:pPr>
            <w:r>
              <w:rPr>
                <w:rFonts w:hint="eastAsia"/>
              </w:rPr>
              <w:t>旋转扭矩示值误差</w:t>
            </w:r>
          </w:p>
        </w:tc>
        <w:tc>
          <w:tcPr>
            <w:tcW w:w="6542"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5"/>
            </w:pPr>
            <w:r>
              <w:rPr>
                <w:rFonts w:hint="eastAsia"/>
              </w:rPr>
              <w:t>2</w:t>
            </w:r>
          </w:p>
        </w:tc>
        <w:tc>
          <w:tcPr>
            <w:tcW w:w="2381" w:type="dxa"/>
          </w:tcPr>
          <w:p>
            <w:pPr>
              <w:pStyle w:val="55"/>
            </w:pPr>
            <w:r>
              <w:rPr>
                <w:rFonts w:hint="eastAsia"/>
              </w:rPr>
              <w:t>旋转角度示值误差</w:t>
            </w:r>
          </w:p>
        </w:tc>
        <w:tc>
          <w:tcPr>
            <w:tcW w:w="6542"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5"/>
            </w:pPr>
            <w:r>
              <w:rPr>
                <w:rFonts w:hint="eastAsia"/>
              </w:rPr>
              <w:t>3</w:t>
            </w:r>
          </w:p>
        </w:tc>
        <w:tc>
          <w:tcPr>
            <w:tcW w:w="2381" w:type="dxa"/>
          </w:tcPr>
          <w:p>
            <w:pPr>
              <w:pStyle w:val="55"/>
            </w:pPr>
            <w:r>
              <w:rPr>
                <w:rFonts w:hint="eastAsia"/>
              </w:rPr>
              <w:t>旋转角度示值稳定性</w:t>
            </w:r>
          </w:p>
        </w:tc>
        <w:tc>
          <w:tcPr>
            <w:tcW w:w="6542"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tcPr>
          <w:p>
            <w:pPr>
              <w:pStyle w:val="55"/>
            </w:pPr>
            <w:r>
              <w:rPr>
                <w:rFonts w:hint="eastAsia"/>
              </w:rPr>
              <w:t>4</w:t>
            </w:r>
          </w:p>
        </w:tc>
        <w:tc>
          <w:tcPr>
            <w:tcW w:w="2381" w:type="dxa"/>
          </w:tcPr>
          <w:p>
            <w:pPr>
              <w:pStyle w:val="55"/>
            </w:pPr>
            <w:r>
              <w:rPr>
                <w:rFonts w:hint="eastAsia"/>
              </w:rPr>
              <w:t>循环次数计数示值误差</w:t>
            </w:r>
          </w:p>
        </w:tc>
        <w:tc>
          <w:tcPr>
            <w:tcW w:w="6542" w:type="dxa"/>
          </w:tcPr>
          <w:p>
            <w:pPr>
              <w:pStyle w:val="55"/>
            </w:pPr>
          </w:p>
        </w:tc>
      </w:tr>
    </w:tbl>
    <w:p>
      <w:pPr>
        <w:ind w:firstLine="0" w:firstLineChars="0"/>
      </w:pPr>
    </w:p>
    <w:p>
      <w:pPr>
        <w:ind w:firstLine="0" w:firstLineChars="0"/>
      </w:pPr>
    </w:p>
    <w:p>
      <w:pPr>
        <w:ind w:firstLine="0" w:firstLineChars="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ge">
                  <wp:posOffset>8906510</wp:posOffset>
                </wp:positionV>
                <wp:extent cx="1461770" cy="0"/>
                <wp:effectExtent l="0" t="0" r="24765" b="19050"/>
                <wp:wrapNone/>
                <wp:docPr id="20" name="直接连接符 20"/>
                <wp:cNvGraphicFramePr/>
                <a:graphic xmlns:a="http://schemas.openxmlformats.org/drawingml/2006/main">
                  <a:graphicData uri="http://schemas.microsoft.com/office/word/2010/wordprocessingShape">
                    <wps:wsp>
                      <wps:cNvCnPr/>
                      <wps:spPr>
                        <a:xfrm>
                          <a:off x="0" y="0"/>
                          <a:ext cx="1461600"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top:701.3pt;height:0pt;width:115.1pt;mso-position-horizontal:center;mso-position-horizontal-relative:margin;mso-position-vertical-relative:page;z-index:251669504;mso-width-relative:page;mso-height-relative:page;" filled="f" stroked="t" coordsize="21600,21600" o:gfxdata="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BISwDXAAAACgEAAA8AAAAAAAAAAQAgAAAAIgAAAGRycy9kb3du&#10;cmV2LnhtbFBLAQIUABQAAAAIAIdO4kABEAtZxwEAAGYDAAAOAAAAAAAAAAEAIAAAACYBAABkcnMv&#10;ZTJvRG9jLnhtbFBLBQYAAAAABgAGAFkBAABfBQAAAAA=&#10;">
                <v:fill on="f" focussize="0,0"/>
                <v:stroke weight="1.5pt" color="#000000 [3213]" miterlimit="8" joinstyle="miter"/>
                <v:imagedata o:title=""/>
                <o:lock v:ext="edit" aspectratio="f"/>
              </v:line>
            </w:pict>
          </mc:Fallback>
        </mc:AlternateContent>
      </w:r>
    </w:p>
    <w:p>
      <w:pPr>
        <w:ind w:firstLine="0" w:firstLineChars="0"/>
      </w:pPr>
    </w:p>
    <w:sectPr>
      <w:pgSz w:w="11906" w:h="16838"/>
      <w:pgMar w:top="1588" w:right="851" w:bottom="1361" w:left="1418" w:header="1134" w:footer="567"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方正小标宋简体">
    <w:panose1 w:val="02000000000000000000"/>
    <w:charset w:val="86"/>
    <w:family w:val="script"/>
    <w:pitch w:val="default"/>
    <w:sig w:usb0="A00002BF" w:usb1="184F6CFA" w:usb2="00000012" w:usb3="00000000" w:csb0="00040001" w:csb1="00000000"/>
  </w:font>
  <w:font w:name="Cambria Math">
    <w:panose1 w:val="02040503050406030204"/>
    <w:charset w:val="00"/>
    <w:family w:val="roman"/>
    <w:pitch w:val="default"/>
    <w:sig w:usb0="A00002EF" w:usb1="420020EB" w:usb2="00000000"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right"/>
    </w:pPr>
  </w:p>
  <w:p>
    <w:pPr>
      <w:pStyle w:val="10"/>
      <w:ind w:firstLine="0" w:firstLineChars="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424185"/>
    </w:sdtPr>
    <w:sdtContent>
      <w:p>
        <w:pPr>
          <w:pStyle w:val="10"/>
          <w:ind w:firstLine="360"/>
          <w:jc w:val="right"/>
        </w:pPr>
        <w:r>
          <w:rPr>
            <w:rFonts w:hint="eastAsia"/>
          </w:rPr>
          <w:t>I</w:t>
        </w:r>
      </w:p>
    </w:sdtContent>
  </w:sdt>
  <w:p>
    <w:pPr>
      <w:pStyle w:val="10"/>
      <w:ind w:firstLine="0" w:firstLineChars="0"/>
    </w:pP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4288153"/>
    </w:sdtPr>
    <w:sdtEndPr>
      <w:rPr>
        <w:rFonts w:ascii="宋体" w:hAnsi="宋体"/>
      </w:rPr>
    </w:sdtEndPr>
    <w:sdtContent>
      <w:p>
        <w:pPr>
          <w:pStyle w:val="10"/>
          <w:ind w:firstLine="0" w:firstLineChars="0"/>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II</w:t>
        </w:r>
        <w:r>
          <w:rPr>
            <w:rFonts w:ascii="宋体" w:hAnsi="宋体"/>
          </w:rPr>
          <w:fldChar w:fldCharType="end"/>
        </w:r>
      </w:p>
      <w:p>
        <w:pPr>
          <w:pStyle w:val="10"/>
          <w:ind w:firstLine="0" w:firstLineChars="0"/>
          <w:rPr>
            <w:rFonts w:ascii="宋体" w:hAnsi="宋体"/>
          </w:rPr>
        </w:pPr>
      </w:p>
    </w:sdtContent>
  </w:sdt>
  <w:p>
    <w:pPr>
      <w:pStyle w:val="10"/>
      <w:ind w:firstLine="360"/>
    </w:pPr>
    <w: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4115301"/>
    </w:sdtPr>
    <w:sdtEndPr>
      <w:rPr>
        <w:rFonts w:ascii="宋体" w:hAnsi="宋体"/>
      </w:rPr>
    </w:sdtEndPr>
    <w:sdtContent>
      <w:p>
        <w:pPr>
          <w:pStyle w:val="10"/>
          <w:ind w:firstLine="360"/>
          <w:jc w:val="right"/>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9</w:t>
        </w:r>
        <w:r>
          <w:rPr>
            <w:rFonts w:ascii="宋体" w:hAnsi="宋体"/>
          </w:rPr>
          <w:fldChar w:fldCharType="end"/>
        </w:r>
      </w:p>
    </w:sdtContent>
  </w:sdt>
  <w:p>
    <w:pPr>
      <w:pStyle w:val="10"/>
      <w:ind w:firstLine="0" w:firstLineChars="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6397776"/>
    </w:sdtPr>
    <w:sdtEndPr>
      <w:rPr>
        <w:rFonts w:ascii="宋体" w:hAnsi="宋体"/>
      </w:rPr>
    </w:sdtEndPr>
    <w:sdtContent>
      <w:p>
        <w:pPr>
          <w:pStyle w:val="10"/>
          <w:ind w:firstLine="0" w:firstLineChars="0"/>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10</w:t>
        </w:r>
        <w:r>
          <w:rPr>
            <w:rFonts w:ascii="宋体" w:hAnsi="宋体"/>
          </w:rPr>
          <w:fldChar w:fldCharType="end"/>
        </w:r>
      </w:p>
    </w:sdtContent>
  </w:sdt>
  <w:p>
    <w:pPr>
      <w:pStyle w:val="10"/>
      <w:ind w:firstLine="360"/>
    </w:pP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jc w:val="center"/>
      <w:rPr>
        <w:sz w:val="18"/>
        <w:szCs w:val="18"/>
      </w:rPr>
    </w:pPr>
    <w:r>
      <w:rPr>
        <w:rFonts w:cs="Times New Roman"/>
        <w:sz w:val="18"/>
        <w:szCs w:val="18"/>
      </w:rPr>
      <w:t>JJF</w:t>
    </w:r>
    <w:r>
      <w:rPr>
        <w:rFonts w:hint="eastAsia"/>
        <w:sz w:val="18"/>
        <w:szCs w:val="18"/>
      </w:rPr>
      <w:t>（机械）1020-2018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360" w:firstLine="0" w:firstLineChars="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rPr>
        <w:rFonts w:ascii="黑体" w:hAnsi="黑体" w:eastAsia="黑体"/>
        <w:sz w:val="21"/>
        <w:szCs w:val="21"/>
      </w:rPr>
    </w:pPr>
    <w:r>
      <w:rPr>
        <w:rFonts w:ascii="黑体" w:hAnsi="黑体" w:eastAsia="黑体" w:cs="Times New Roman"/>
        <w:sz w:val="21"/>
        <w:szCs w:val="21"/>
      </w:rPr>
      <w:t>JJF</w:t>
    </w:r>
    <w:r>
      <w:rPr>
        <w:rFonts w:hint="eastAsia" w:ascii="黑体" w:hAnsi="黑体" w:eastAsia="黑体"/>
        <w:sz w:val="21"/>
        <w:szCs w:val="21"/>
      </w:rPr>
      <w:t>（机械）1020-2018</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20"/>
      <w:rPr>
        <w:rFonts w:ascii="黑体" w:hAnsi="黑体" w:eastAsia="黑体"/>
        <w:sz w:val="21"/>
        <w:szCs w:val="21"/>
      </w:rPr>
    </w:pPr>
    <w:r>
      <w:rPr>
        <w:rFonts w:ascii="黑体" w:hAnsi="黑体" w:eastAsia="黑体" w:cs="Times New Roman"/>
        <w:sz w:val="21"/>
        <w:szCs w:val="21"/>
      </w:rPr>
      <w:t>JJF</w:t>
    </w:r>
    <w:r>
      <w:rPr>
        <w:rFonts w:hint="eastAsia" w:ascii="黑体" w:hAnsi="黑体" w:eastAsia="黑体"/>
        <w:sz w:val="21"/>
        <w:szCs w:val="21"/>
      </w:rPr>
      <w:t>（机械）1020-2018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C2250"/>
    <w:multiLevelType w:val="multilevel"/>
    <w:tmpl w:val="061C2250"/>
    <w:lvl w:ilvl="0" w:tentative="0">
      <w:start w:val="1"/>
      <w:numFmt w:val="upperLetter"/>
      <w:pStyle w:val="59"/>
      <w:suff w:val="nothing"/>
      <w:lvlText w:val="附录 %1"/>
      <w:lvlJc w:val="left"/>
      <w:pPr>
        <w:ind w:left="2410" w:hanging="425"/>
      </w:pPr>
      <w:rPr>
        <w:rFonts w:hint="eastAsia"/>
      </w:rPr>
    </w:lvl>
    <w:lvl w:ilvl="1" w:tentative="0">
      <w:start w:val="1"/>
      <w:numFmt w:val="decimal"/>
      <w:suff w:val="nothing"/>
      <w:lvlText w:val="%1.%2  "/>
      <w:lvlJc w:val="left"/>
      <w:pPr>
        <w:ind w:left="2410" w:hanging="425"/>
      </w:pPr>
      <w:rPr>
        <w:rFonts w:hint="eastAsia"/>
      </w:rPr>
    </w:lvl>
    <w:lvl w:ilvl="2" w:tentative="0">
      <w:start w:val="1"/>
      <w:numFmt w:val="decimal"/>
      <w:suff w:val="nothing"/>
      <w:lvlText w:val="%1.%2.%3  "/>
      <w:lvlJc w:val="left"/>
      <w:pPr>
        <w:ind w:left="2410" w:hanging="425"/>
      </w:pPr>
      <w:rPr>
        <w:rFonts w:hint="eastAsia"/>
      </w:rPr>
    </w:lvl>
    <w:lvl w:ilvl="3" w:tentative="0">
      <w:start w:val="1"/>
      <w:numFmt w:val="decimal"/>
      <w:lvlText w:val="%1.%2.%3.%4"/>
      <w:lvlJc w:val="left"/>
      <w:pPr>
        <w:ind w:left="2410" w:hanging="425"/>
      </w:pPr>
      <w:rPr>
        <w:rFonts w:hint="eastAsia"/>
      </w:rPr>
    </w:lvl>
    <w:lvl w:ilvl="4" w:tentative="0">
      <w:start w:val="1"/>
      <w:numFmt w:val="decimal"/>
      <w:lvlText w:val="%1.%2.%3.%4.%5"/>
      <w:lvlJc w:val="left"/>
      <w:pPr>
        <w:ind w:left="2410" w:hanging="425"/>
      </w:pPr>
      <w:rPr>
        <w:rFonts w:hint="eastAsia"/>
      </w:rPr>
    </w:lvl>
    <w:lvl w:ilvl="5" w:tentative="0">
      <w:start w:val="1"/>
      <w:numFmt w:val="decimal"/>
      <w:lvlText w:val="%1.%2.%3.%4.%5.%6"/>
      <w:lvlJc w:val="left"/>
      <w:pPr>
        <w:ind w:left="2410" w:hanging="425"/>
      </w:pPr>
      <w:rPr>
        <w:rFonts w:hint="eastAsia"/>
      </w:rPr>
    </w:lvl>
    <w:lvl w:ilvl="6" w:tentative="0">
      <w:start w:val="1"/>
      <w:numFmt w:val="decimal"/>
      <w:lvlText w:val="%1.%2.%3.%4.%5.%6.%7"/>
      <w:lvlJc w:val="left"/>
      <w:pPr>
        <w:ind w:left="2410" w:hanging="425"/>
      </w:pPr>
      <w:rPr>
        <w:rFonts w:hint="eastAsia"/>
      </w:rPr>
    </w:lvl>
    <w:lvl w:ilvl="7" w:tentative="0">
      <w:start w:val="1"/>
      <w:numFmt w:val="decimal"/>
      <w:lvlText w:val="%1.%2.%3.%4.%5.%6.%7.%8"/>
      <w:lvlJc w:val="left"/>
      <w:pPr>
        <w:ind w:left="2410" w:hanging="425"/>
      </w:pPr>
      <w:rPr>
        <w:rFonts w:hint="eastAsia"/>
      </w:rPr>
    </w:lvl>
    <w:lvl w:ilvl="8" w:tentative="0">
      <w:start w:val="1"/>
      <w:numFmt w:val="decimal"/>
      <w:lvlText w:val="%1.%2.%3.%4.%5.%6.%7.%8.%9"/>
      <w:lvlJc w:val="left"/>
      <w:pPr>
        <w:ind w:left="2410" w:hanging="425"/>
      </w:pPr>
      <w:rPr>
        <w:rFonts w:hint="eastAsia"/>
      </w:rPr>
    </w:lvl>
  </w:abstractNum>
  <w:abstractNum w:abstractNumId="1">
    <w:nsid w:val="2AEC6227"/>
    <w:multiLevelType w:val="multilevel"/>
    <w:tmpl w:val="2AEC6227"/>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31A70BF"/>
    <w:multiLevelType w:val="multilevel"/>
    <w:tmpl w:val="431A70BF"/>
    <w:lvl w:ilvl="0" w:tentative="0">
      <w:start w:val="1"/>
      <w:numFmt w:val="decimal"/>
      <w:pStyle w:val="2"/>
      <w:suff w:val="nothing"/>
      <w:lvlText w:val="%1  "/>
      <w:lvlJc w:val="left"/>
      <w:pPr>
        <w:ind w:left="425" w:hanging="425"/>
      </w:pPr>
      <w:rPr>
        <w:rFonts w:hint="eastAsia"/>
      </w:rPr>
    </w:lvl>
    <w:lvl w:ilvl="1" w:tentative="0">
      <w:start w:val="1"/>
      <w:numFmt w:val="decimal"/>
      <w:pStyle w:val="4"/>
      <w:suff w:val="nothing"/>
      <w:lvlText w:val="%1.%2  "/>
      <w:lvlJc w:val="left"/>
      <w:pPr>
        <w:ind w:left="1985" w:hanging="425"/>
      </w:pPr>
      <w:rPr>
        <w:rFonts w:hint="eastAsia"/>
      </w:rPr>
    </w:lvl>
    <w:lvl w:ilvl="2" w:tentative="0">
      <w:start w:val="1"/>
      <w:numFmt w:val="decimal"/>
      <w:pStyle w:val="5"/>
      <w:suff w:val="nothing"/>
      <w:lvlText w:val="%1.%2.%3  "/>
      <w:lvlJc w:val="left"/>
      <w:pPr>
        <w:ind w:left="4820" w:hanging="425"/>
      </w:pPr>
      <w:rPr>
        <w:rFonts w:hint="eastAsia"/>
      </w:rPr>
    </w:lvl>
    <w:lvl w:ilvl="3" w:tentative="0">
      <w:start w:val="1"/>
      <w:numFmt w:val="decimal"/>
      <w:lvlText w:val="%1.%2.%3.%4"/>
      <w:lvlJc w:val="left"/>
      <w:pPr>
        <w:ind w:left="425" w:hanging="425"/>
      </w:pPr>
      <w:rPr>
        <w:rFonts w:hint="eastAsia"/>
      </w:rPr>
    </w:lvl>
    <w:lvl w:ilvl="4" w:tentative="0">
      <w:start w:val="1"/>
      <w:numFmt w:val="decimal"/>
      <w:lvlText w:val="%1.%2.%3.%4.%5"/>
      <w:lvlJc w:val="left"/>
      <w:pPr>
        <w:ind w:left="425" w:hanging="425"/>
      </w:pPr>
      <w:rPr>
        <w:rFonts w:hint="eastAsia"/>
      </w:rPr>
    </w:lvl>
    <w:lvl w:ilvl="5" w:tentative="0">
      <w:start w:val="1"/>
      <w:numFmt w:val="decimal"/>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8C0"/>
    <w:rsid w:val="00002092"/>
    <w:rsid w:val="00007349"/>
    <w:rsid w:val="000127E5"/>
    <w:rsid w:val="00024654"/>
    <w:rsid w:val="00024CA9"/>
    <w:rsid w:val="00035BB5"/>
    <w:rsid w:val="000409A8"/>
    <w:rsid w:val="00043271"/>
    <w:rsid w:val="00050087"/>
    <w:rsid w:val="00050EFF"/>
    <w:rsid w:val="00060689"/>
    <w:rsid w:val="00072A94"/>
    <w:rsid w:val="00074864"/>
    <w:rsid w:val="000856E0"/>
    <w:rsid w:val="00086D8D"/>
    <w:rsid w:val="000901F7"/>
    <w:rsid w:val="00094426"/>
    <w:rsid w:val="000A7BC1"/>
    <w:rsid w:val="000C1305"/>
    <w:rsid w:val="000C5D9F"/>
    <w:rsid w:val="000D2D8D"/>
    <w:rsid w:val="000D452B"/>
    <w:rsid w:val="000D4B51"/>
    <w:rsid w:val="000D5843"/>
    <w:rsid w:val="000D5F3A"/>
    <w:rsid w:val="000E5C42"/>
    <w:rsid w:val="000E6472"/>
    <w:rsid w:val="000F4119"/>
    <w:rsid w:val="000F56BC"/>
    <w:rsid w:val="000F6294"/>
    <w:rsid w:val="00101F6C"/>
    <w:rsid w:val="00112A80"/>
    <w:rsid w:val="00115B8C"/>
    <w:rsid w:val="00122307"/>
    <w:rsid w:val="00122F4A"/>
    <w:rsid w:val="00130C91"/>
    <w:rsid w:val="0013284A"/>
    <w:rsid w:val="00146057"/>
    <w:rsid w:val="00151A62"/>
    <w:rsid w:val="001540D5"/>
    <w:rsid w:val="00154831"/>
    <w:rsid w:val="0015638E"/>
    <w:rsid w:val="001601B0"/>
    <w:rsid w:val="00160440"/>
    <w:rsid w:val="001613CB"/>
    <w:rsid w:val="00167712"/>
    <w:rsid w:val="00170563"/>
    <w:rsid w:val="00175113"/>
    <w:rsid w:val="00193D2A"/>
    <w:rsid w:val="00193FA3"/>
    <w:rsid w:val="001A0649"/>
    <w:rsid w:val="001A6056"/>
    <w:rsid w:val="001A66B5"/>
    <w:rsid w:val="001B0D02"/>
    <w:rsid w:val="001B428F"/>
    <w:rsid w:val="001C0B98"/>
    <w:rsid w:val="001C1047"/>
    <w:rsid w:val="001C4BC4"/>
    <w:rsid w:val="001C4F70"/>
    <w:rsid w:val="001C5C2B"/>
    <w:rsid w:val="001C67DD"/>
    <w:rsid w:val="001D2D6B"/>
    <w:rsid w:val="001D397A"/>
    <w:rsid w:val="001E2914"/>
    <w:rsid w:val="001E533E"/>
    <w:rsid w:val="001F030C"/>
    <w:rsid w:val="001F0AD3"/>
    <w:rsid w:val="00210D7E"/>
    <w:rsid w:val="00211461"/>
    <w:rsid w:val="00212204"/>
    <w:rsid w:val="00214580"/>
    <w:rsid w:val="00220A6C"/>
    <w:rsid w:val="002218C7"/>
    <w:rsid w:val="002232B0"/>
    <w:rsid w:val="00223DE6"/>
    <w:rsid w:val="0023657A"/>
    <w:rsid w:val="00242301"/>
    <w:rsid w:val="00245762"/>
    <w:rsid w:val="002458C0"/>
    <w:rsid w:val="0025154E"/>
    <w:rsid w:val="0027017C"/>
    <w:rsid w:val="00275DED"/>
    <w:rsid w:val="002875B4"/>
    <w:rsid w:val="00292AD1"/>
    <w:rsid w:val="0029425B"/>
    <w:rsid w:val="00295E39"/>
    <w:rsid w:val="002A35FD"/>
    <w:rsid w:val="002B3718"/>
    <w:rsid w:val="002D0F80"/>
    <w:rsid w:val="002D5077"/>
    <w:rsid w:val="002E4C91"/>
    <w:rsid w:val="002E620E"/>
    <w:rsid w:val="002F554E"/>
    <w:rsid w:val="002F6355"/>
    <w:rsid w:val="0031642E"/>
    <w:rsid w:val="00321061"/>
    <w:rsid w:val="00344DA8"/>
    <w:rsid w:val="0036758C"/>
    <w:rsid w:val="00370EF5"/>
    <w:rsid w:val="0037680B"/>
    <w:rsid w:val="00380114"/>
    <w:rsid w:val="003821BC"/>
    <w:rsid w:val="00383ED4"/>
    <w:rsid w:val="00384252"/>
    <w:rsid w:val="00384352"/>
    <w:rsid w:val="003946DC"/>
    <w:rsid w:val="00395BD5"/>
    <w:rsid w:val="0039711B"/>
    <w:rsid w:val="003A2110"/>
    <w:rsid w:val="003B0690"/>
    <w:rsid w:val="003B1E87"/>
    <w:rsid w:val="003B3752"/>
    <w:rsid w:val="003B39F7"/>
    <w:rsid w:val="003C2BDD"/>
    <w:rsid w:val="003E0EFA"/>
    <w:rsid w:val="003E2904"/>
    <w:rsid w:val="003F260B"/>
    <w:rsid w:val="004064BD"/>
    <w:rsid w:val="004148E4"/>
    <w:rsid w:val="00431595"/>
    <w:rsid w:val="0043441B"/>
    <w:rsid w:val="004410B3"/>
    <w:rsid w:val="0044527B"/>
    <w:rsid w:val="00450D35"/>
    <w:rsid w:val="004513EF"/>
    <w:rsid w:val="00456736"/>
    <w:rsid w:val="00457C3F"/>
    <w:rsid w:val="004649C5"/>
    <w:rsid w:val="004703D3"/>
    <w:rsid w:val="004704A3"/>
    <w:rsid w:val="00484EEC"/>
    <w:rsid w:val="004879C6"/>
    <w:rsid w:val="00487ACB"/>
    <w:rsid w:val="00490A79"/>
    <w:rsid w:val="004A3743"/>
    <w:rsid w:val="004A3A52"/>
    <w:rsid w:val="004A7F05"/>
    <w:rsid w:val="004B673A"/>
    <w:rsid w:val="004B68A4"/>
    <w:rsid w:val="004B6B90"/>
    <w:rsid w:val="004C0350"/>
    <w:rsid w:val="004C7689"/>
    <w:rsid w:val="004D2361"/>
    <w:rsid w:val="004D4FAF"/>
    <w:rsid w:val="004E5ADF"/>
    <w:rsid w:val="004E6820"/>
    <w:rsid w:val="004E73CF"/>
    <w:rsid w:val="004F7799"/>
    <w:rsid w:val="00503852"/>
    <w:rsid w:val="00504116"/>
    <w:rsid w:val="00511047"/>
    <w:rsid w:val="0051209E"/>
    <w:rsid w:val="005166A3"/>
    <w:rsid w:val="005318B8"/>
    <w:rsid w:val="005434FD"/>
    <w:rsid w:val="0054515D"/>
    <w:rsid w:val="00546431"/>
    <w:rsid w:val="0054777F"/>
    <w:rsid w:val="00550349"/>
    <w:rsid w:val="00550B47"/>
    <w:rsid w:val="00557453"/>
    <w:rsid w:val="005623FD"/>
    <w:rsid w:val="00571BB2"/>
    <w:rsid w:val="0057277D"/>
    <w:rsid w:val="00573137"/>
    <w:rsid w:val="00576094"/>
    <w:rsid w:val="00587DB3"/>
    <w:rsid w:val="00587FBA"/>
    <w:rsid w:val="005901B9"/>
    <w:rsid w:val="00593018"/>
    <w:rsid w:val="00597DF9"/>
    <w:rsid w:val="005A0C72"/>
    <w:rsid w:val="005A56FB"/>
    <w:rsid w:val="005B00AE"/>
    <w:rsid w:val="005B27A2"/>
    <w:rsid w:val="005C7C80"/>
    <w:rsid w:val="005E0964"/>
    <w:rsid w:val="005E5F0A"/>
    <w:rsid w:val="00600E52"/>
    <w:rsid w:val="00604490"/>
    <w:rsid w:val="00605325"/>
    <w:rsid w:val="0060658F"/>
    <w:rsid w:val="006101EE"/>
    <w:rsid w:val="0061200E"/>
    <w:rsid w:val="00612F0C"/>
    <w:rsid w:val="006134B4"/>
    <w:rsid w:val="0062566B"/>
    <w:rsid w:val="00630266"/>
    <w:rsid w:val="00631E79"/>
    <w:rsid w:val="006324F1"/>
    <w:rsid w:val="00632F9D"/>
    <w:rsid w:val="00633BC2"/>
    <w:rsid w:val="00634888"/>
    <w:rsid w:val="0063580E"/>
    <w:rsid w:val="00640AB3"/>
    <w:rsid w:val="00643E05"/>
    <w:rsid w:val="00652EC9"/>
    <w:rsid w:val="006548B5"/>
    <w:rsid w:val="00654DBA"/>
    <w:rsid w:val="0066058A"/>
    <w:rsid w:val="006807CB"/>
    <w:rsid w:val="00686177"/>
    <w:rsid w:val="00687511"/>
    <w:rsid w:val="00694248"/>
    <w:rsid w:val="006A2668"/>
    <w:rsid w:val="006A43D4"/>
    <w:rsid w:val="006A457A"/>
    <w:rsid w:val="006B2763"/>
    <w:rsid w:val="006B2C33"/>
    <w:rsid w:val="006C27EE"/>
    <w:rsid w:val="006C3815"/>
    <w:rsid w:val="006C3867"/>
    <w:rsid w:val="006C5497"/>
    <w:rsid w:val="006C75EE"/>
    <w:rsid w:val="006C7721"/>
    <w:rsid w:val="006D0A88"/>
    <w:rsid w:val="006D747A"/>
    <w:rsid w:val="006E2CE8"/>
    <w:rsid w:val="006E4DE9"/>
    <w:rsid w:val="006F087A"/>
    <w:rsid w:val="006F26A1"/>
    <w:rsid w:val="006F3D24"/>
    <w:rsid w:val="006F4175"/>
    <w:rsid w:val="00701D58"/>
    <w:rsid w:val="0070581F"/>
    <w:rsid w:val="00716C23"/>
    <w:rsid w:val="007201CF"/>
    <w:rsid w:val="0072137E"/>
    <w:rsid w:val="0073108B"/>
    <w:rsid w:val="00740FEB"/>
    <w:rsid w:val="00754A7A"/>
    <w:rsid w:val="00756709"/>
    <w:rsid w:val="00756896"/>
    <w:rsid w:val="00757147"/>
    <w:rsid w:val="00771A76"/>
    <w:rsid w:val="00773C1D"/>
    <w:rsid w:val="007837E3"/>
    <w:rsid w:val="0078449F"/>
    <w:rsid w:val="00785A0F"/>
    <w:rsid w:val="00786450"/>
    <w:rsid w:val="00791F07"/>
    <w:rsid w:val="00793D29"/>
    <w:rsid w:val="0079791A"/>
    <w:rsid w:val="007A3614"/>
    <w:rsid w:val="007B14E5"/>
    <w:rsid w:val="007B33CA"/>
    <w:rsid w:val="007B4275"/>
    <w:rsid w:val="007C0C86"/>
    <w:rsid w:val="007D787E"/>
    <w:rsid w:val="007F01D5"/>
    <w:rsid w:val="007F5A35"/>
    <w:rsid w:val="007F6308"/>
    <w:rsid w:val="00804901"/>
    <w:rsid w:val="00816C96"/>
    <w:rsid w:val="00822C6E"/>
    <w:rsid w:val="00822CE7"/>
    <w:rsid w:val="0083006C"/>
    <w:rsid w:val="00834AC4"/>
    <w:rsid w:val="00835A4A"/>
    <w:rsid w:val="00835EE2"/>
    <w:rsid w:val="00836435"/>
    <w:rsid w:val="00841291"/>
    <w:rsid w:val="00844BF2"/>
    <w:rsid w:val="00847B68"/>
    <w:rsid w:val="00853CCF"/>
    <w:rsid w:val="00866106"/>
    <w:rsid w:val="00866C25"/>
    <w:rsid w:val="00872E34"/>
    <w:rsid w:val="00873DE9"/>
    <w:rsid w:val="0088082B"/>
    <w:rsid w:val="00886C54"/>
    <w:rsid w:val="008A1397"/>
    <w:rsid w:val="008A1A19"/>
    <w:rsid w:val="008B0361"/>
    <w:rsid w:val="008B1F4C"/>
    <w:rsid w:val="008C08AD"/>
    <w:rsid w:val="008C3D04"/>
    <w:rsid w:val="008D23A3"/>
    <w:rsid w:val="008D7885"/>
    <w:rsid w:val="008E0770"/>
    <w:rsid w:val="008E19A5"/>
    <w:rsid w:val="008E6720"/>
    <w:rsid w:val="008F332B"/>
    <w:rsid w:val="0090502D"/>
    <w:rsid w:val="00925716"/>
    <w:rsid w:val="00927CF5"/>
    <w:rsid w:val="00932A6D"/>
    <w:rsid w:val="0093376D"/>
    <w:rsid w:val="009354CE"/>
    <w:rsid w:val="00940503"/>
    <w:rsid w:val="00954750"/>
    <w:rsid w:val="009613E3"/>
    <w:rsid w:val="009614F8"/>
    <w:rsid w:val="00962DEA"/>
    <w:rsid w:val="009706A3"/>
    <w:rsid w:val="00971FFD"/>
    <w:rsid w:val="009743C4"/>
    <w:rsid w:val="009844F6"/>
    <w:rsid w:val="00984C71"/>
    <w:rsid w:val="0098763B"/>
    <w:rsid w:val="00992CC0"/>
    <w:rsid w:val="00995F28"/>
    <w:rsid w:val="009A5FDD"/>
    <w:rsid w:val="009B139D"/>
    <w:rsid w:val="009C078F"/>
    <w:rsid w:val="009C454E"/>
    <w:rsid w:val="009C7395"/>
    <w:rsid w:val="009D0710"/>
    <w:rsid w:val="009D0EC2"/>
    <w:rsid w:val="009D3727"/>
    <w:rsid w:val="009D4EB6"/>
    <w:rsid w:val="009D732E"/>
    <w:rsid w:val="009D7461"/>
    <w:rsid w:val="009E6B5D"/>
    <w:rsid w:val="009F668F"/>
    <w:rsid w:val="00A001FC"/>
    <w:rsid w:val="00A10DB5"/>
    <w:rsid w:val="00A10E9D"/>
    <w:rsid w:val="00A11AAF"/>
    <w:rsid w:val="00A11D5E"/>
    <w:rsid w:val="00A12304"/>
    <w:rsid w:val="00A12479"/>
    <w:rsid w:val="00A31460"/>
    <w:rsid w:val="00A4213D"/>
    <w:rsid w:val="00A46416"/>
    <w:rsid w:val="00A57C74"/>
    <w:rsid w:val="00A7495D"/>
    <w:rsid w:val="00A80384"/>
    <w:rsid w:val="00A935D5"/>
    <w:rsid w:val="00A93895"/>
    <w:rsid w:val="00A97920"/>
    <w:rsid w:val="00AA762B"/>
    <w:rsid w:val="00AB11F3"/>
    <w:rsid w:val="00AB303E"/>
    <w:rsid w:val="00AB49F5"/>
    <w:rsid w:val="00AB4C48"/>
    <w:rsid w:val="00AB6D7F"/>
    <w:rsid w:val="00AB7B10"/>
    <w:rsid w:val="00AC77A2"/>
    <w:rsid w:val="00AD1051"/>
    <w:rsid w:val="00AD46F9"/>
    <w:rsid w:val="00AD4D3F"/>
    <w:rsid w:val="00AD6622"/>
    <w:rsid w:val="00AE62F6"/>
    <w:rsid w:val="00AF37B4"/>
    <w:rsid w:val="00AF38E0"/>
    <w:rsid w:val="00B013DD"/>
    <w:rsid w:val="00B10EDC"/>
    <w:rsid w:val="00B11BA0"/>
    <w:rsid w:val="00B16DA4"/>
    <w:rsid w:val="00B2337B"/>
    <w:rsid w:val="00B32CEF"/>
    <w:rsid w:val="00B34A20"/>
    <w:rsid w:val="00B41647"/>
    <w:rsid w:val="00B41F3C"/>
    <w:rsid w:val="00B44C59"/>
    <w:rsid w:val="00B5059A"/>
    <w:rsid w:val="00B54B3A"/>
    <w:rsid w:val="00B5500A"/>
    <w:rsid w:val="00B62421"/>
    <w:rsid w:val="00B70865"/>
    <w:rsid w:val="00B838DB"/>
    <w:rsid w:val="00B919C1"/>
    <w:rsid w:val="00B94FD3"/>
    <w:rsid w:val="00BA1B63"/>
    <w:rsid w:val="00BA325C"/>
    <w:rsid w:val="00BA58D3"/>
    <w:rsid w:val="00BB6E81"/>
    <w:rsid w:val="00BC09DF"/>
    <w:rsid w:val="00BD2FD1"/>
    <w:rsid w:val="00BD3EDA"/>
    <w:rsid w:val="00BE0EED"/>
    <w:rsid w:val="00BE17EE"/>
    <w:rsid w:val="00BE3305"/>
    <w:rsid w:val="00BE5888"/>
    <w:rsid w:val="00BF5987"/>
    <w:rsid w:val="00C02A58"/>
    <w:rsid w:val="00C05128"/>
    <w:rsid w:val="00C110EC"/>
    <w:rsid w:val="00C22FAB"/>
    <w:rsid w:val="00C30B17"/>
    <w:rsid w:val="00C31257"/>
    <w:rsid w:val="00C317DE"/>
    <w:rsid w:val="00C31BB0"/>
    <w:rsid w:val="00C31D4D"/>
    <w:rsid w:val="00C3749A"/>
    <w:rsid w:val="00C40938"/>
    <w:rsid w:val="00C432FD"/>
    <w:rsid w:val="00C4442E"/>
    <w:rsid w:val="00C52991"/>
    <w:rsid w:val="00C65EB0"/>
    <w:rsid w:val="00C66D2E"/>
    <w:rsid w:val="00C6746B"/>
    <w:rsid w:val="00C91043"/>
    <w:rsid w:val="00C922BA"/>
    <w:rsid w:val="00CA16A7"/>
    <w:rsid w:val="00CA464F"/>
    <w:rsid w:val="00CA4B85"/>
    <w:rsid w:val="00CC0CC5"/>
    <w:rsid w:val="00CC229A"/>
    <w:rsid w:val="00CC2736"/>
    <w:rsid w:val="00CC4ABA"/>
    <w:rsid w:val="00CD305D"/>
    <w:rsid w:val="00CD583E"/>
    <w:rsid w:val="00CF0282"/>
    <w:rsid w:val="00CF74EC"/>
    <w:rsid w:val="00D0268E"/>
    <w:rsid w:val="00D03672"/>
    <w:rsid w:val="00D03F51"/>
    <w:rsid w:val="00D177EF"/>
    <w:rsid w:val="00D23602"/>
    <w:rsid w:val="00D240B9"/>
    <w:rsid w:val="00D26991"/>
    <w:rsid w:val="00D36CC3"/>
    <w:rsid w:val="00D4020A"/>
    <w:rsid w:val="00D4306A"/>
    <w:rsid w:val="00D4419E"/>
    <w:rsid w:val="00D54916"/>
    <w:rsid w:val="00D7666D"/>
    <w:rsid w:val="00D92465"/>
    <w:rsid w:val="00D96725"/>
    <w:rsid w:val="00D96D88"/>
    <w:rsid w:val="00DA2285"/>
    <w:rsid w:val="00DA3268"/>
    <w:rsid w:val="00DA65E0"/>
    <w:rsid w:val="00DB1CF5"/>
    <w:rsid w:val="00DB3357"/>
    <w:rsid w:val="00DB7D79"/>
    <w:rsid w:val="00DC1567"/>
    <w:rsid w:val="00DC52FB"/>
    <w:rsid w:val="00DE3D9B"/>
    <w:rsid w:val="00DE4844"/>
    <w:rsid w:val="00DE4FDA"/>
    <w:rsid w:val="00DE5F70"/>
    <w:rsid w:val="00DF1430"/>
    <w:rsid w:val="00E00777"/>
    <w:rsid w:val="00E1411E"/>
    <w:rsid w:val="00E20506"/>
    <w:rsid w:val="00E23A56"/>
    <w:rsid w:val="00E37347"/>
    <w:rsid w:val="00E453EE"/>
    <w:rsid w:val="00E60848"/>
    <w:rsid w:val="00E63718"/>
    <w:rsid w:val="00E678DF"/>
    <w:rsid w:val="00E70717"/>
    <w:rsid w:val="00E77DE0"/>
    <w:rsid w:val="00E80235"/>
    <w:rsid w:val="00E850B1"/>
    <w:rsid w:val="00E91C81"/>
    <w:rsid w:val="00E95EA6"/>
    <w:rsid w:val="00E97934"/>
    <w:rsid w:val="00EA6484"/>
    <w:rsid w:val="00EB065F"/>
    <w:rsid w:val="00EB6F19"/>
    <w:rsid w:val="00EC7C31"/>
    <w:rsid w:val="00ED5602"/>
    <w:rsid w:val="00ED6A90"/>
    <w:rsid w:val="00EE3B82"/>
    <w:rsid w:val="00EE40B7"/>
    <w:rsid w:val="00EF10EF"/>
    <w:rsid w:val="00EF2F46"/>
    <w:rsid w:val="00F1656D"/>
    <w:rsid w:val="00F206BC"/>
    <w:rsid w:val="00F223E0"/>
    <w:rsid w:val="00F22F84"/>
    <w:rsid w:val="00F24675"/>
    <w:rsid w:val="00F25AEC"/>
    <w:rsid w:val="00F45107"/>
    <w:rsid w:val="00F96943"/>
    <w:rsid w:val="00F97473"/>
    <w:rsid w:val="00FA1152"/>
    <w:rsid w:val="00FB1541"/>
    <w:rsid w:val="00FB5B91"/>
    <w:rsid w:val="00FC3B1B"/>
    <w:rsid w:val="00FD6104"/>
    <w:rsid w:val="00FE0FE6"/>
    <w:rsid w:val="00FE4C0D"/>
    <w:rsid w:val="00FF2675"/>
    <w:rsid w:val="1C377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480" w:firstLineChars="200"/>
      <w:jc w:val="both"/>
    </w:pPr>
    <w:rPr>
      <w:rFonts w:ascii="Times New Roman" w:hAnsi="Times New Roman" w:eastAsia="宋体" w:cstheme="minorBidi"/>
      <w:kern w:val="2"/>
      <w:sz w:val="24"/>
      <w:szCs w:val="24"/>
      <w:lang w:val="en-US" w:eastAsia="zh-CN" w:bidi="ar-SA"/>
    </w:rPr>
  </w:style>
  <w:style w:type="paragraph" w:styleId="2">
    <w:name w:val="heading 1"/>
    <w:basedOn w:val="3"/>
    <w:next w:val="1"/>
    <w:link w:val="29"/>
    <w:qFormat/>
    <w:uiPriority w:val="9"/>
    <w:pPr>
      <w:numPr>
        <w:ilvl w:val="0"/>
        <w:numId w:val="1"/>
      </w:numPr>
      <w:spacing w:before="326" w:beforeLines="100" w:after="326" w:afterLines="100"/>
      <w:ind w:firstLine="0" w:firstLineChars="0"/>
      <w:outlineLvl w:val="0"/>
    </w:pPr>
    <w:rPr>
      <w:rFonts w:ascii="黑体" w:hAnsi="黑体" w:eastAsia="黑体"/>
    </w:rPr>
  </w:style>
  <w:style w:type="paragraph" w:styleId="4">
    <w:name w:val="heading 2"/>
    <w:basedOn w:val="2"/>
    <w:next w:val="1"/>
    <w:link w:val="51"/>
    <w:unhideWhenUsed/>
    <w:qFormat/>
    <w:uiPriority w:val="9"/>
    <w:pPr>
      <w:numPr>
        <w:ilvl w:val="1"/>
      </w:numPr>
      <w:spacing w:before="0" w:beforeLines="0" w:after="0" w:afterLines="0"/>
      <w:ind w:left="425"/>
      <w:outlineLvl w:val="1"/>
    </w:pPr>
    <w:rPr>
      <w:rFonts w:ascii="宋体" w:hAnsi="宋体" w:eastAsia="宋体"/>
    </w:rPr>
  </w:style>
  <w:style w:type="paragraph" w:styleId="5">
    <w:name w:val="heading 3"/>
    <w:basedOn w:val="4"/>
    <w:next w:val="1"/>
    <w:link w:val="57"/>
    <w:unhideWhenUsed/>
    <w:qFormat/>
    <w:uiPriority w:val="9"/>
    <w:pPr>
      <w:numPr>
        <w:ilvl w:val="2"/>
      </w:numPr>
      <w:outlineLvl w:val="2"/>
    </w:pPr>
  </w:style>
  <w:style w:type="character" w:default="1" w:styleId="14">
    <w:name w:val="Default Paragraph Font"/>
    <w:unhideWhenUsed/>
    <w:uiPriority w:val="1"/>
  </w:style>
  <w:style w:type="table" w:default="1" w:styleId="16">
    <w:name w:val="Normal Table"/>
    <w:unhideWhenUsed/>
    <w:uiPriority w:val="99"/>
    <w:tblPr>
      <w:tblLayout w:type="fixed"/>
      <w:tblCellMar>
        <w:top w:w="0" w:type="dxa"/>
        <w:left w:w="108" w:type="dxa"/>
        <w:bottom w:w="0" w:type="dxa"/>
        <w:right w:w="108" w:type="dxa"/>
      </w:tblCellMar>
    </w:tblPr>
  </w:style>
  <w:style w:type="paragraph" w:customStyle="1" w:styleId="3">
    <w:name w:val="List Paragraph"/>
    <w:basedOn w:val="1"/>
    <w:link w:val="52"/>
    <w:qFormat/>
    <w:uiPriority w:val="34"/>
    <w:pPr>
      <w:ind w:firstLine="420"/>
    </w:p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toc 3"/>
    <w:basedOn w:val="1"/>
    <w:next w:val="1"/>
    <w:unhideWhenUsed/>
    <w:uiPriority w:val="39"/>
    <w:pPr>
      <w:ind w:left="840" w:leftChars="400"/>
    </w:pPr>
  </w:style>
  <w:style w:type="paragraph" w:styleId="8">
    <w:name w:val="Date"/>
    <w:basedOn w:val="1"/>
    <w:next w:val="1"/>
    <w:link w:val="66"/>
    <w:unhideWhenUsed/>
    <w:qFormat/>
    <w:uiPriority w:val="99"/>
    <w:pPr>
      <w:ind w:left="100" w:leftChars="2500"/>
    </w:pPr>
  </w:style>
  <w:style w:type="paragraph" w:styleId="9">
    <w:name w:val="Balloon Text"/>
    <w:basedOn w:val="1"/>
    <w:link w:val="26"/>
    <w:unhideWhenUsed/>
    <w:qFormat/>
    <w:uiPriority w:val="99"/>
    <w:rPr>
      <w:sz w:val="18"/>
      <w:szCs w:val="18"/>
    </w:rPr>
  </w:style>
  <w:style w:type="paragraph" w:styleId="10">
    <w:name w:val="footer"/>
    <w:basedOn w:val="1"/>
    <w:link w:val="25"/>
    <w:unhideWhenUsed/>
    <w:qFormat/>
    <w:uiPriority w:val="99"/>
    <w:pPr>
      <w:tabs>
        <w:tab w:val="center" w:pos="4153"/>
        <w:tab w:val="right" w:pos="8306"/>
      </w:tabs>
      <w:snapToGrid w:val="0"/>
      <w:jc w:val="left"/>
    </w:pPr>
    <w:rPr>
      <w:sz w:val="18"/>
      <w:szCs w:val="18"/>
    </w:rPr>
  </w:style>
  <w:style w:type="paragraph" w:styleId="11">
    <w:name w:val="header"/>
    <w:basedOn w:val="1"/>
    <w:link w:val="24"/>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9627"/>
      </w:tabs>
      <w:ind w:firstLine="0" w:firstLineChars="0"/>
    </w:pPr>
  </w:style>
  <w:style w:type="paragraph" w:styleId="13">
    <w:name w:val="toc 2"/>
    <w:basedOn w:val="1"/>
    <w:next w:val="1"/>
    <w:unhideWhenUsed/>
    <w:qFormat/>
    <w:uiPriority w:val="39"/>
    <w:pPr>
      <w:tabs>
        <w:tab w:val="right" w:leader="dot" w:pos="9627"/>
      </w:tabs>
      <w:ind w:firstLine="0" w:firstLineChars="0"/>
    </w:p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table" w:styleId="17">
    <w:name w:val="Table Grid"/>
    <w:basedOn w:val="1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
    <w:name w:val="封面标准号2"/>
    <w:basedOn w:val="1"/>
    <w:uiPriority w:val="0"/>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rFonts w:cs="Times New Roman"/>
      <w:kern w:val="0"/>
      <w:sz w:val="28"/>
      <w:szCs w:val="20"/>
    </w:rPr>
  </w:style>
  <w:style w:type="paragraph" w:customStyle="1" w:styleId="19">
    <w:name w:val="其他标准称谓"/>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20">
    <w:name w:val="封面标准英文名称"/>
    <w:qFormat/>
    <w:uiPriority w:val="0"/>
    <w:pPr>
      <w:widowControl w:val="0"/>
      <w:spacing w:before="370" w:line="400" w:lineRule="exact"/>
      <w:jc w:val="center"/>
    </w:pPr>
    <w:rPr>
      <w:rFonts w:ascii="Times New Roman" w:hAnsi="Times New Roman" w:eastAsia="宋体" w:cs="Times New Roman"/>
      <w:kern w:val="0"/>
      <w:sz w:val="28"/>
      <w:szCs w:val="20"/>
      <w:lang w:val="en-US" w:eastAsia="zh-CN" w:bidi="ar-SA"/>
    </w:rPr>
  </w:style>
  <w:style w:type="paragraph" w:customStyle="1" w:styleId="21">
    <w:name w:val="发布日期"/>
    <w:qFormat/>
    <w:uiPriority w:val="0"/>
    <w:pPr>
      <w:framePr w:w="4000" w:h="473" w:hRule="exact" w:hSpace="180" w:vSpace="180" w:wrap="around" w:vAnchor="margin" w:hAnchor="margin" w:y="13511" w:anchorLock="1"/>
    </w:pPr>
    <w:rPr>
      <w:rFonts w:ascii="Times New Roman" w:hAnsi="Times New Roman" w:eastAsia="黑体" w:cs="Times New Roman"/>
      <w:kern w:val="0"/>
      <w:sz w:val="28"/>
      <w:szCs w:val="20"/>
      <w:lang w:val="en-US" w:eastAsia="zh-CN" w:bidi="ar-SA"/>
    </w:rPr>
  </w:style>
  <w:style w:type="paragraph" w:customStyle="1" w:styleId="22">
    <w:name w:val="实施日期"/>
    <w:basedOn w:val="21"/>
    <w:qFormat/>
    <w:uiPriority w:val="0"/>
    <w:pPr>
      <w:framePr w:hSpace="0" w:xAlign="right"/>
      <w:jc w:val="right"/>
    </w:pPr>
  </w:style>
  <w:style w:type="paragraph" w:customStyle="1" w:styleId="23">
    <w:name w:val="其他发布部门"/>
    <w:basedOn w:val="1"/>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spacing w:val="20"/>
      <w:w w:val="135"/>
      <w:kern w:val="0"/>
      <w:sz w:val="36"/>
      <w:szCs w:val="20"/>
    </w:rPr>
  </w:style>
  <w:style w:type="character" w:customStyle="1" w:styleId="24">
    <w:name w:val="页眉 Char"/>
    <w:basedOn w:val="14"/>
    <w:link w:val="11"/>
    <w:uiPriority w:val="99"/>
    <w:rPr>
      <w:sz w:val="18"/>
      <w:szCs w:val="18"/>
    </w:rPr>
  </w:style>
  <w:style w:type="character" w:customStyle="1" w:styleId="25">
    <w:name w:val="页脚 Char"/>
    <w:basedOn w:val="14"/>
    <w:link w:val="10"/>
    <w:qFormat/>
    <w:uiPriority w:val="99"/>
    <w:rPr>
      <w:sz w:val="18"/>
      <w:szCs w:val="18"/>
    </w:rPr>
  </w:style>
  <w:style w:type="character" w:customStyle="1" w:styleId="26">
    <w:name w:val="批注框文本 Char"/>
    <w:basedOn w:val="14"/>
    <w:link w:val="9"/>
    <w:semiHidden/>
    <w:uiPriority w:val="99"/>
    <w:rPr>
      <w:sz w:val="18"/>
      <w:szCs w:val="18"/>
    </w:rPr>
  </w:style>
  <w:style w:type="paragraph" w:customStyle="1" w:styleId="27">
    <w:name w:val="封面标准名称"/>
    <w:link w:val="32"/>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28">
    <w:name w:val="目次、索引正文"/>
    <w:link w:val="45"/>
    <w:uiPriority w:val="0"/>
    <w:pPr>
      <w:spacing w:line="320" w:lineRule="exact"/>
      <w:jc w:val="both"/>
    </w:pPr>
    <w:rPr>
      <w:rFonts w:ascii="宋体" w:hAnsi="Times New Roman" w:eastAsia="宋体" w:cs="Times New Roman"/>
      <w:kern w:val="0"/>
      <w:sz w:val="21"/>
      <w:szCs w:val="20"/>
      <w:lang w:val="en-US" w:eastAsia="zh-CN" w:bidi="ar-SA"/>
    </w:rPr>
  </w:style>
  <w:style w:type="character" w:customStyle="1" w:styleId="29">
    <w:name w:val="标题 1 Char"/>
    <w:basedOn w:val="14"/>
    <w:link w:val="2"/>
    <w:uiPriority w:val="9"/>
    <w:rPr>
      <w:rFonts w:ascii="黑体" w:hAnsi="黑体" w:eastAsia="黑体"/>
      <w:sz w:val="24"/>
      <w:szCs w:val="24"/>
    </w:rPr>
  </w:style>
  <w:style w:type="paragraph" w:customStyle="1" w:styleId="30">
    <w:name w:val="扉页归口单位"/>
    <w:basedOn w:val="27"/>
    <w:link w:val="33"/>
    <w:qFormat/>
    <w:uiPriority w:val="0"/>
    <w:pPr>
      <w:framePr/>
      <w:spacing w:line="360" w:lineRule="auto"/>
      <w:jc w:val="both"/>
    </w:pPr>
    <w:rPr>
      <w:sz w:val="28"/>
    </w:rPr>
  </w:style>
  <w:style w:type="paragraph" w:customStyle="1" w:styleId="31">
    <w:name w:val="扉页起草人"/>
    <w:basedOn w:val="27"/>
    <w:link w:val="35"/>
    <w:qFormat/>
    <w:uiPriority w:val="0"/>
    <w:pPr>
      <w:framePr/>
      <w:spacing w:line="240" w:lineRule="auto"/>
      <w:jc w:val="both"/>
    </w:pPr>
    <w:rPr>
      <w:sz w:val="28"/>
      <w:szCs w:val="28"/>
    </w:rPr>
  </w:style>
  <w:style w:type="character" w:customStyle="1" w:styleId="32">
    <w:name w:val="封面标准名称 字符"/>
    <w:basedOn w:val="14"/>
    <w:link w:val="27"/>
    <w:qFormat/>
    <w:uiPriority w:val="0"/>
    <w:rPr>
      <w:rFonts w:ascii="黑体" w:hAnsi="Times New Roman" w:eastAsia="黑体" w:cs="Times New Roman"/>
      <w:kern w:val="0"/>
      <w:sz w:val="52"/>
      <w:szCs w:val="20"/>
    </w:rPr>
  </w:style>
  <w:style w:type="character" w:customStyle="1" w:styleId="33">
    <w:name w:val="扉页归口单位 字符"/>
    <w:basedOn w:val="32"/>
    <w:link w:val="30"/>
    <w:qFormat/>
    <w:uiPriority w:val="0"/>
    <w:rPr>
      <w:rFonts w:ascii="黑体" w:hAnsi="Times New Roman" w:eastAsia="黑体" w:cs="Times New Roman"/>
      <w:kern w:val="0"/>
      <w:sz w:val="28"/>
      <w:szCs w:val="20"/>
    </w:rPr>
  </w:style>
  <w:style w:type="paragraph" w:customStyle="1" w:styleId="34">
    <w:name w:val="扉页参与起草人"/>
    <w:basedOn w:val="27"/>
    <w:link w:val="37"/>
    <w:qFormat/>
    <w:uiPriority w:val="0"/>
    <w:pPr>
      <w:framePr/>
      <w:spacing w:line="240" w:lineRule="auto"/>
      <w:ind w:firstLine="848" w:firstLineChars="303"/>
      <w:jc w:val="both"/>
    </w:pPr>
    <w:rPr>
      <w:sz w:val="28"/>
      <w:szCs w:val="28"/>
    </w:rPr>
  </w:style>
  <w:style w:type="character" w:customStyle="1" w:styleId="35">
    <w:name w:val="扉页起草人 字符"/>
    <w:basedOn w:val="32"/>
    <w:link w:val="31"/>
    <w:uiPriority w:val="0"/>
    <w:rPr>
      <w:rFonts w:ascii="黑体" w:hAnsi="Times New Roman" w:eastAsia="黑体" w:cs="Times New Roman"/>
      <w:kern w:val="0"/>
      <w:sz w:val="28"/>
      <w:szCs w:val="28"/>
    </w:rPr>
  </w:style>
  <w:style w:type="paragraph" w:customStyle="1" w:styleId="36">
    <w:name w:val="扉页规范编号"/>
    <w:basedOn w:val="1"/>
    <w:link w:val="39"/>
    <w:qFormat/>
    <w:uiPriority w:val="0"/>
    <w:pPr>
      <w:ind w:firstLine="0" w:firstLineChars="0"/>
    </w:pPr>
    <w:rPr>
      <w:b/>
      <w:bCs/>
      <w:szCs w:val="21"/>
    </w:rPr>
  </w:style>
  <w:style w:type="character" w:customStyle="1" w:styleId="37">
    <w:name w:val="扉页参与起草人 字符"/>
    <w:basedOn w:val="32"/>
    <w:link w:val="34"/>
    <w:uiPriority w:val="0"/>
    <w:rPr>
      <w:rFonts w:ascii="黑体" w:hAnsi="Times New Roman" w:eastAsia="黑体" w:cs="Times New Roman"/>
      <w:kern w:val="0"/>
      <w:sz w:val="28"/>
      <w:szCs w:val="28"/>
    </w:rPr>
  </w:style>
  <w:style w:type="paragraph" w:customStyle="1" w:styleId="38">
    <w:name w:val="扉页标准名称"/>
    <w:basedOn w:val="1"/>
    <w:link w:val="41"/>
    <w:qFormat/>
    <w:uiPriority w:val="0"/>
    <w:pPr>
      <w:jc w:val="center"/>
    </w:pPr>
    <w:rPr>
      <w:rFonts w:ascii="黑体" w:hAnsi="黑体" w:eastAsia="黑体"/>
      <w:sz w:val="44"/>
      <w:szCs w:val="44"/>
    </w:rPr>
  </w:style>
  <w:style w:type="character" w:customStyle="1" w:styleId="39">
    <w:name w:val="扉页规范编号 字符"/>
    <w:basedOn w:val="14"/>
    <w:link w:val="36"/>
    <w:uiPriority w:val="0"/>
    <w:rPr>
      <w:rFonts w:ascii="宋体" w:hAnsi="宋体" w:eastAsia="宋体"/>
      <w:b/>
      <w:bCs/>
      <w:sz w:val="24"/>
      <w:szCs w:val="21"/>
    </w:rPr>
  </w:style>
  <w:style w:type="paragraph" w:customStyle="1" w:styleId="40">
    <w:name w:val="扉页其他"/>
    <w:basedOn w:val="1"/>
    <w:link w:val="43"/>
    <w:qFormat/>
    <w:uiPriority w:val="0"/>
    <w:pPr>
      <w:ind w:firstLine="0" w:firstLineChars="0"/>
      <w:jc w:val="center"/>
    </w:pPr>
    <w:rPr>
      <w:sz w:val="28"/>
      <w:szCs w:val="28"/>
    </w:rPr>
  </w:style>
  <w:style w:type="character" w:customStyle="1" w:styleId="41">
    <w:name w:val="扉页标准名称 字符"/>
    <w:basedOn w:val="14"/>
    <w:link w:val="38"/>
    <w:qFormat/>
    <w:uiPriority w:val="0"/>
    <w:rPr>
      <w:rFonts w:ascii="黑体" w:hAnsi="黑体" w:eastAsia="黑体"/>
      <w:sz w:val="44"/>
      <w:szCs w:val="44"/>
    </w:rPr>
  </w:style>
  <w:style w:type="paragraph" w:customStyle="1" w:styleId="42">
    <w:name w:val="扉页姓名"/>
    <w:basedOn w:val="28"/>
    <w:link w:val="46"/>
    <w:qFormat/>
    <w:uiPriority w:val="0"/>
    <w:pPr>
      <w:spacing w:line="240" w:lineRule="auto"/>
      <w:ind w:firstLine="1417" w:firstLineChars="506"/>
    </w:pPr>
    <w:rPr>
      <w:sz w:val="28"/>
      <w:szCs w:val="28"/>
    </w:rPr>
  </w:style>
  <w:style w:type="character" w:customStyle="1" w:styleId="43">
    <w:name w:val="扉页其他 字符"/>
    <w:basedOn w:val="14"/>
    <w:link w:val="40"/>
    <w:uiPriority w:val="0"/>
    <w:rPr>
      <w:rFonts w:ascii="宋体" w:hAnsi="宋体" w:eastAsia="宋体"/>
      <w:sz w:val="28"/>
      <w:szCs w:val="28"/>
    </w:rPr>
  </w:style>
  <w:style w:type="paragraph" w:customStyle="1" w:styleId="44">
    <w:name w:val="引言"/>
    <w:basedOn w:val="2"/>
    <w:link w:val="48"/>
    <w:qFormat/>
    <w:uiPriority w:val="0"/>
    <w:pPr>
      <w:numPr>
        <w:numId w:val="0"/>
      </w:numPr>
      <w:jc w:val="center"/>
    </w:pPr>
    <w:rPr>
      <w:sz w:val="48"/>
      <w:szCs w:val="48"/>
    </w:rPr>
  </w:style>
  <w:style w:type="character" w:customStyle="1" w:styleId="45">
    <w:name w:val="目次、索引正文 字符"/>
    <w:basedOn w:val="14"/>
    <w:link w:val="28"/>
    <w:uiPriority w:val="0"/>
    <w:rPr>
      <w:rFonts w:ascii="宋体" w:hAnsi="Times New Roman" w:eastAsia="宋体" w:cs="Times New Roman"/>
      <w:kern w:val="0"/>
      <w:szCs w:val="20"/>
    </w:rPr>
  </w:style>
  <w:style w:type="character" w:customStyle="1" w:styleId="46">
    <w:name w:val="扉页姓名 字符"/>
    <w:basedOn w:val="45"/>
    <w:link w:val="42"/>
    <w:uiPriority w:val="0"/>
    <w:rPr>
      <w:rFonts w:ascii="宋体" w:hAnsi="Times New Roman" w:eastAsia="宋体" w:cs="Times New Roman"/>
      <w:kern w:val="0"/>
      <w:sz w:val="28"/>
      <w:szCs w:val="28"/>
    </w:rPr>
  </w:style>
  <w:style w:type="paragraph" w:customStyle="1" w:styleId="47">
    <w:name w:val="正文规范名称"/>
    <w:basedOn w:val="1"/>
    <w:link w:val="49"/>
    <w:qFormat/>
    <w:uiPriority w:val="0"/>
    <w:pPr>
      <w:spacing w:before="640" w:after="560" w:line="480" w:lineRule="exact"/>
      <w:ind w:firstLine="0" w:firstLineChars="0"/>
      <w:jc w:val="center"/>
    </w:pPr>
    <w:rPr>
      <w:rFonts w:ascii="黑体" w:hAnsi="黑体" w:eastAsia="黑体"/>
      <w:sz w:val="32"/>
      <w:szCs w:val="32"/>
    </w:rPr>
  </w:style>
  <w:style w:type="character" w:customStyle="1" w:styleId="48">
    <w:name w:val="引言 字符"/>
    <w:basedOn w:val="29"/>
    <w:link w:val="44"/>
    <w:uiPriority w:val="0"/>
    <w:rPr>
      <w:rFonts w:ascii="黑体" w:hAnsi="黑体" w:eastAsia="黑体"/>
      <w:sz w:val="48"/>
      <w:szCs w:val="48"/>
    </w:rPr>
  </w:style>
  <w:style w:type="character" w:customStyle="1" w:styleId="49">
    <w:name w:val="正文规范名称 字符"/>
    <w:basedOn w:val="14"/>
    <w:link w:val="47"/>
    <w:uiPriority w:val="0"/>
    <w:rPr>
      <w:rFonts w:ascii="黑体" w:hAnsi="黑体" w:eastAsia="黑体"/>
      <w:sz w:val="32"/>
      <w:szCs w:val="32"/>
    </w:rPr>
  </w:style>
  <w:style w:type="paragraph" w:customStyle="1" w:styleId="50">
    <w:name w:val="图题"/>
    <w:basedOn w:val="6"/>
    <w:link w:val="53"/>
    <w:qFormat/>
    <w:uiPriority w:val="0"/>
    <w:pPr>
      <w:ind w:firstLine="0" w:firstLineChars="0"/>
      <w:jc w:val="center"/>
    </w:pPr>
    <w:rPr>
      <w:rFonts w:ascii="Times New Roman" w:hAnsi="Times New Roman" w:eastAsia="宋体"/>
      <w:sz w:val="21"/>
      <w:szCs w:val="21"/>
    </w:rPr>
  </w:style>
  <w:style w:type="character" w:customStyle="1" w:styleId="51">
    <w:name w:val="标题 2 Char"/>
    <w:basedOn w:val="14"/>
    <w:link w:val="4"/>
    <w:qFormat/>
    <w:uiPriority w:val="9"/>
    <w:rPr>
      <w:rFonts w:ascii="宋体" w:hAnsi="宋体" w:eastAsia="宋体"/>
      <w:sz w:val="24"/>
      <w:szCs w:val="24"/>
    </w:rPr>
  </w:style>
  <w:style w:type="character" w:customStyle="1" w:styleId="52">
    <w:name w:val="列出段落 Char"/>
    <w:basedOn w:val="14"/>
    <w:link w:val="3"/>
    <w:uiPriority w:val="34"/>
    <w:rPr>
      <w:rFonts w:ascii="宋体" w:hAnsi="宋体" w:eastAsia="宋体"/>
      <w:sz w:val="24"/>
      <w:szCs w:val="24"/>
    </w:rPr>
  </w:style>
  <w:style w:type="character" w:customStyle="1" w:styleId="53">
    <w:name w:val="图题 字符"/>
    <w:basedOn w:val="52"/>
    <w:link w:val="50"/>
    <w:uiPriority w:val="0"/>
    <w:rPr>
      <w:rFonts w:ascii="Times New Roman" w:hAnsi="Times New Roman" w:eastAsia="宋体" w:cstheme="majorBidi"/>
      <w:sz w:val="24"/>
      <w:szCs w:val="21"/>
    </w:rPr>
  </w:style>
  <w:style w:type="paragraph" w:customStyle="1" w:styleId="54">
    <w:name w:val="表题"/>
    <w:basedOn w:val="6"/>
    <w:link w:val="56"/>
    <w:qFormat/>
    <w:uiPriority w:val="0"/>
    <w:pPr>
      <w:ind w:firstLine="0" w:firstLineChars="0"/>
      <w:jc w:val="center"/>
    </w:pPr>
    <w:rPr>
      <w:rFonts w:ascii="Times New Roman" w:hAnsi="Times New Roman"/>
      <w:sz w:val="21"/>
      <w:szCs w:val="21"/>
    </w:rPr>
  </w:style>
  <w:style w:type="paragraph" w:customStyle="1" w:styleId="55">
    <w:name w:val="表中文字"/>
    <w:basedOn w:val="54"/>
    <w:link w:val="58"/>
    <w:qFormat/>
    <w:uiPriority w:val="0"/>
    <w:pPr>
      <w:spacing w:before="60" w:after="60" w:line="240" w:lineRule="auto"/>
    </w:pPr>
    <w:rPr>
      <w:rFonts w:eastAsia="宋体"/>
    </w:rPr>
  </w:style>
  <w:style w:type="character" w:customStyle="1" w:styleId="56">
    <w:name w:val="表题 字符"/>
    <w:basedOn w:val="52"/>
    <w:link w:val="54"/>
    <w:uiPriority w:val="0"/>
    <w:rPr>
      <w:rFonts w:ascii="Times New Roman" w:hAnsi="Times New Roman" w:eastAsia="黑体" w:cstheme="majorBidi"/>
      <w:sz w:val="24"/>
      <w:szCs w:val="21"/>
    </w:rPr>
  </w:style>
  <w:style w:type="character" w:customStyle="1" w:styleId="57">
    <w:name w:val="标题 3 Char"/>
    <w:basedOn w:val="14"/>
    <w:link w:val="5"/>
    <w:qFormat/>
    <w:uiPriority w:val="9"/>
    <w:rPr>
      <w:rFonts w:ascii="宋体" w:hAnsi="宋体" w:eastAsia="宋体"/>
      <w:sz w:val="24"/>
      <w:szCs w:val="24"/>
    </w:rPr>
  </w:style>
  <w:style w:type="character" w:customStyle="1" w:styleId="58">
    <w:name w:val="表中文字 字符"/>
    <w:basedOn w:val="56"/>
    <w:link w:val="55"/>
    <w:qFormat/>
    <w:uiPriority w:val="0"/>
    <w:rPr>
      <w:rFonts w:ascii="Times New Roman" w:hAnsi="Times New Roman" w:eastAsia="宋体" w:cstheme="majorBidi"/>
      <w:sz w:val="24"/>
      <w:szCs w:val="21"/>
    </w:rPr>
  </w:style>
  <w:style w:type="paragraph" w:customStyle="1" w:styleId="59">
    <w:name w:val="附录"/>
    <w:basedOn w:val="2"/>
    <w:link w:val="61"/>
    <w:qFormat/>
    <w:uiPriority w:val="0"/>
    <w:pPr>
      <w:numPr>
        <w:numId w:val="2"/>
      </w:numPr>
      <w:spacing w:before="312" w:after="312"/>
      <w:ind w:left="426"/>
    </w:pPr>
    <w:rPr>
      <w:sz w:val="28"/>
    </w:rPr>
  </w:style>
  <w:style w:type="paragraph" w:customStyle="1" w:styleId="60">
    <w:name w:val="附录表题"/>
    <w:basedOn w:val="1"/>
    <w:link w:val="62"/>
    <w:qFormat/>
    <w:uiPriority w:val="0"/>
    <w:pPr>
      <w:ind w:firstLine="0" w:firstLineChars="0"/>
      <w:jc w:val="center"/>
    </w:pPr>
    <w:rPr>
      <w:rFonts w:ascii="黑体" w:hAnsi="黑体" w:eastAsia="黑体"/>
      <w:sz w:val="28"/>
    </w:rPr>
  </w:style>
  <w:style w:type="character" w:customStyle="1" w:styleId="61">
    <w:name w:val="附录 字符"/>
    <w:basedOn w:val="29"/>
    <w:link w:val="59"/>
    <w:qFormat/>
    <w:uiPriority w:val="0"/>
    <w:rPr>
      <w:rFonts w:ascii="黑体" w:hAnsi="黑体" w:eastAsia="黑体"/>
      <w:sz w:val="28"/>
      <w:szCs w:val="24"/>
    </w:rPr>
  </w:style>
  <w:style w:type="character" w:customStyle="1" w:styleId="62">
    <w:name w:val="附录表题 字符"/>
    <w:basedOn w:val="14"/>
    <w:link w:val="60"/>
    <w:uiPriority w:val="0"/>
    <w:rPr>
      <w:rFonts w:ascii="黑体" w:hAnsi="黑体" w:eastAsia="黑体"/>
      <w:sz w:val="28"/>
      <w:szCs w:val="24"/>
    </w:rPr>
  </w:style>
  <w:style w:type="paragraph" w:customStyle="1" w:styleId="63">
    <w:name w:val="TOC Heading"/>
    <w:basedOn w:val="2"/>
    <w:next w:val="1"/>
    <w:unhideWhenUsed/>
    <w:qFormat/>
    <w:uiPriority w:val="39"/>
    <w:pPr>
      <w:keepNext/>
      <w:keepLines/>
      <w:widowControl/>
      <w:numPr>
        <w:numId w:val="0"/>
      </w:numPr>
      <w:spacing w:before="240" w:beforeLines="0" w:after="0" w:afterLines="0" w:line="259" w:lineRule="auto"/>
      <w:jc w:val="left"/>
      <w:outlineLvl w:val="9"/>
    </w:pPr>
    <w:rPr>
      <w:rFonts w:asciiTheme="majorHAnsi" w:hAnsiTheme="majorHAnsi" w:eastAsiaTheme="majorEastAsia" w:cstheme="majorBidi"/>
      <w:color w:val="2F5597" w:themeColor="accent1" w:themeShade="BF"/>
      <w:kern w:val="0"/>
      <w:sz w:val="32"/>
      <w:szCs w:val="32"/>
    </w:rPr>
  </w:style>
  <w:style w:type="character" w:customStyle="1" w:styleId="64">
    <w:name w:val="Placeholder Text"/>
    <w:basedOn w:val="14"/>
    <w:semiHidden/>
    <w:qFormat/>
    <w:uiPriority w:val="99"/>
    <w:rPr>
      <w:color w:val="808080"/>
    </w:rPr>
  </w:style>
  <w:style w:type="paragraph" w:customStyle="1" w:styleId="65">
    <w:name w:val="No Spacing"/>
    <w:qFormat/>
    <w:uiPriority w:val="1"/>
    <w:pPr>
      <w:widowControl w:val="0"/>
      <w:ind w:firstLine="480" w:firstLineChars="200"/>
      <w:jc w:val="both"/>
    </w:pPr>
    <w:rPr>
      <w:rFonts w:ascii="Times New Roman" w:hAnsi="Times New Roman" w:eastAsia="宋体" w:cstheme="minorBidi"/>
      <w:kern w:val="2"/>
      <w:sz w:val="24"/>
      <w:szCs w:val="24"/>
      <w:lang w:val="en-US" w:eastAsia="zh-CN" w:bidi="ar-SA"/>
    </w:rPr>
  </w:style>
  <w:style w:type="character" w:customStyle="1" w:styleId="66">
    <w:name w:val="日期 Char"/>
    <w:basedOn w:val="14"/>
    <w:link w:val="8"/>
    <w:semiHidden/>
    <w:qFormat/>
    <w:uiPriority w:val="99"/>
    <w:rPr>
      <w:rFonts w:ascii="Times New Roman" w:hAnsi="Times New Roman"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6.jpeg"/><Relationship Id="rId21" Type="http://schemas.openxmlformats.org/officeDocument/2006/relationships/image" Target="media/image5.jpeg"/><Relationship Id="rId20" Type="http://schemas.openxmlformats.org/officeDocument/2006/relationships/image" Target="media/image4.jpeg"/><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emf"/><Relationship Id="rId17" Type="http://schemas.openxmlformats.org/officeDocument/2006/relationships/image" Target="media/image1.emf"/><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494DC-AFBE-4F59-A754-72A4FC370F6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1121</Words>
  <Characters>6394</Characters>
  <Lines>53</Lines>
  <Paragraphs>14</Paragraphs>
  <TotalTime>6</TotalTime>
  <ScaleCrop>false</ScaleCrop>
  <LinksUpToDate>false</LinksUpToDate>
  <CharactersWithSpaces>7501</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2018-06-29T02:26:00Z</dcterms:created>
  <dc:creator>刘殿东</dc:creator>
  <cp:lastModifiedBy>acer</cp:lastModifiedBy>
  <cp:lastPrinted>2018-06-28T04:05:00Z</cp:lastPrinted>
  <dcterms:modified xsi:type="dcterms:W3CDTF">2018-07-05T06:17:00Z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