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60" w:lineRule="auto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项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汽车行业</w:t>
      </w:r>
      <w:r>
        <w:rPr>
          <w:rFonts w:hint="eastAsia" w:ascii="黑体" w:hAnsi="黑体" w:eastAsia="黑体" w:cs="黑体"/>
          <w:sz w:val="36"/>
          <w:szCs w:val="36"/>
        </w:rPr>
        <w:t>推荐性国家标准</w:t>
      </w:r>
      <w:r>
        <w:rPr>
          <w:rFonts w:hint="eastAsia" w:ascii="黑体" w:hAnsi="黑体" w:eastAsia="黑体" w:cs="黑体"/>
          <w:sz w:val="36"/>
          <w:szCs w:val="36"/>
          <w:lang/>
        </w:rPr>
        <w:t>名称及主要内容</w:t>
      </w:r>
      <w:bookmarkStart w:id="0" w:name="_GoBack"/>
      <w:bookmarkEnd w:id="0"/>
    </w:p>
    <w:tbl>
      <w:tblPr>
        <w:tblStyle w:val="5"/>
        <w:tblW w:w="1404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832"/>
        <w:gridCol w:w="2445"/>
        <w:gridCol w:w="6480"/>
        <w:gridCol w:w="1762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序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号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计划编号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标准名称</w:t>
            </w:r>
          </w:p>
        </w:tc>
        <w:tc>
          <w:tcPr>
            <w:tcW w:w="64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标准主要内容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代替标准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采标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71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20171038-T-339</w:t>
            </w:r>
          </w:p>
        </w:tc>
        <w:tc>
          <w:tcPr>
            <w:tcW w:w="2445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道路车辆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先进驾驶辅助系统</w:t>
            </w:r>
            <w:r>
              <w:rPr>
                <w:rFonts w:ascii="仿宋_GB2312" w:hAnsi="宋体" w:eastAsia="仿宋_GB2312" w:cs="仿宋_GB2312"/>
                <w:kern w:val="0"/>
              </w:rPr>
              <w:t>(ADAS)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术语及定义</w:t>
            </w:r>
          </w:p>
        </w:tc>
        <w:tc>
          <w:tcPr>
            <w:tcW w:w="6480" w:type="dxa"/>
            <w:vAlign w:val="top"/>
          </w:tcPr>
          <w:p>
            <w:pPr>
              <w:spacing w:line="360" w:lineRule="exact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本标准规定了道路车辆先进驾驶辅助系统</w:t>
            </w:r>
            <w:r>
              <w:rPr>
                <w:rFonts w:ascii="仿宋_GB2312" w:hAnsi="宋体" w:eastAsia="仿宋_GB2312" w:cs="仿宋_GB2312"/>
              </w:rPr>
              <w:t>(ADAS)</w:t>
            </w:r>
            <w:r>
              <w:rPr>
                <w:rFonts w:hint="eastAsia" w:ascii="仿宋_GB2312" w:hAnsi="宋体" w:eastAsia="仿宋_GB2312" w:cs="仿宋_GB2312"/>
              </w:rPr>
              <w:t>相关的术语及定义。</w:t>
            </w:r>
          </w:p>
          <w:p>
            <w:pPr>
              <w:pStyle w:val="7"/>
              <w:spacing w:line="360" w:lineRule="exact"/>
              <w:ind w:firstLine="31680"/>
              <w:jc w:val="lef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本标准适用于</w:t>
            </w:r>
            <w:r>
              <w:rPr>
                <w:rFonts w:ascii="仿宋_GB2312" w:hAnsi="宋体" w:eastAsia="仿宋_GB2312" w:cs="仿宋_GB2312"/>
              </w:rPr>
              <w:t>M</w:t>
            </w:r>
            <w:r>
              <w:rPr>
                <w:rFonts w:hint="eastAsia" w:ascii="仿宋_GB2312" w:hAnsi="宋体" w:eastAsia="仿宋_GB2312" w:cs="仿宋_GB2312"/>
              </w:rPr>
              <w:t>类、</w:t>
            </w:r>
            <w:r>
              <w:rPr>
                <w:rFonts w:ascii="仿宋_GB2312" w:hAnsi="宋体" w:eastAsia="仿宋_GB2312" w:cs="仿宋_GB2312"/>
              </w:rPr>
              <w:t>N</w:t>
            </w:r>
            <w:r>
              <w:rPr>
                <w:rFonts w:hint="eastAsia" w:ascii="仿宋_GB2312" w:hAnsi="宋体" w:eastAsia="仿宋_GB2312" w:cs="仿宋_GB2312"/>
              </w:rPr>
              <w:t>类和</w:t>
            </w:r>
            <w:r>
              <w:rPr>
                <w:rFonts w:ascii="仿宋_GB2312" w:hAnsi="宋体" w:eastAsia="仿宋_GB2312" w:cs="仿宋_GB2312"/>
              </w:rPr>
              <w:t>O</w:t>
            </w:r>
            <w:r>
              <w:rPr>
                <w:rFonts w:hint="eastAsia" w:ascii="仿宋_GB2312" w:hAnsi="宋体" w:eastAsia="仿宋_GB2312" w:cs="仿宋_GB2312"/>
              </w:rPr>
              <w:t>类车辆。</w:t>
            </w:r>
          </w:p>
        </w:tc>
        <w:tc>
          <w:tcPr>
            <w:tcW w:w="1762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71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20171039-T-339</w:t>
            </w:r>
          </w:p>
        </w:tc>
        <w:tc>
          <w:tcPr>
            <w:tcW w:w="2445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道路车辆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盲区监测（</w:t>
            </w:r>
            <w:r>
              <w:rPr>
                <w:rFonts w:ascii="仿宋_GB2312" w:hAnsi="宋体" w:eastAsia="仿宋_GB2312" w:cs="仿宋_GB2312"/>
                <w:kern w:val="0"/>
              </w:rPr>
              <w:t>BSD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）系统性能要求及试验方法</w:t>
            </w:r>
          </w:p>
        </w:tc>
        <w:tc>
          <w:tcPr>
            <w:tcW w:w="6480" w:type="dxa"/>
            <w:vAlign w:val="top"/>
          </w:tcPr>
          <w:p>
            <w:pPr>
              <w:spacing w:line="360" w:lineRule="exact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本标准规定了汽车盲区监测（</w:t>
            </w:r>
            <w:r>
              <w:rPr>
                <w:rFonts w:ascii="仿宋_GB2312" w:hAnsi="宋体" w:eastAsia="仿宋_GB2312" w:cs="仿宋_GB2312"/>
              </w:rPr>
              <w:t>BSD</w:t>
            </w:r>
            <w:r>
              <w:rPr>
                <w:rFonts w:hint="eastAsia" w:ascii="仿宋_GB2312" w:hAnsi="宋体" w:eastAsia="仿宋_GB2312" w:cs="仿宋_GB2312"/>
              </w:rPr>
              <w:t>）系统的一般要求、性能要求和试验方法。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标准适用于安装有盲区监测系统的</w:t>
            </w:r>
            <w:r>
              <w:rPr>
                <w:rFonts w:ascii="仿宋_GB2312" w:hAnsi="宋体" w:eastAsia="仿宋_GB2312" w:cs="仿宋_GB2312"/>
                <w:kern w:val="0"/>
              </w:rPr>
              <w:t>M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和</w:t>
            </w:r>
            <w:r>
              <w:rPr>
                <w:rFonts w:ascii="仿宋_GB2312" w:hAnsi="宋体" w:eastAsia="仿宋_GB2312" w:cs="仿宋_GB2312"/>
                <w:kern w:val="0"/>
              </w:rPr>
              <w:t>N</w:t>
            </w:r>
            <w:r>
              <w:rPr>
                <w:rFonts w:hint="eastAsia" w:ascii="仿宋_GB2312" w:hAnsi="宋体" w:eastAsia="仿宋_GB2312" w:cs="仿宋_GB2312"/>
                <w:kern w:val="0"/>
              </w:rPr>
              <w:t>类车辆。不适用于汽车列车、铰接式客车和专用作业车。</w:t>
            </w:r>
          </w:p>
        </w:tc>
        <w:tc>
          <w:tcPr>
            <w:tcW w:w="1762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71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_GB2312" w:hAnsi="仿宋" w:eastAsia="仿宋_GB2312"/>
                <w:color w:val="000000"/>
                <w:kern w:val="0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</w:rPr>
              <w:t>20171040-T-339</w:t>
            </w:r>
          </w:p>
        </w:tc>
        <w:tc>
          <w:tcPr>
            <w:tcW w:w="2445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乘用车车道保持辅助（</w:t>
            </w:r>
            <w:r>
              <w:rPr>
                <w:rFonts w:ascii="仿宋_GB2312" w:hAnsi="宋体" w:eastAsia="仿宋_GB2312" w:cs="仿宋_GB2312"/>
                <w:kern w:val="0"/>
              </w:rPr>
              <w:t>LKA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）系统性能要求及试验方法</w:t>
            </w:r>
          </w:p>
        </w:tc>
        <w:tc>
          <w:tcPr>
            <w:tcW w:w="6480" w:type="dxa"/>
            <w:vAlign w:val="top"/>
          </w:tcPr>
          <w:p>
            <w:pPr>
              <w:spacing w:line="360" w:lineRule="exact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本标准规定了乘用车车道保持辅助（</w:t>
            </w:r>
            <w:r>
              <w:rPr>
                <w:rFonts w:ascii="仿宋_GB2312" w:hAnsi="宋体" w:eastAsia="仿宋_GB2312" w:cs="仿宋_GB2312"/>
              </w:rPr>
              <w:t>LKA</w:t>
            </w:r>
            <w:r>
              <w:rPr>
                <w:rFonts w:hint="eastAsia" w:ascii="仿宋_GB2312" w:hAnsi="宋体" w:eastAsia="仿宋_GB2312" w:cs="仿宋_GB2312"/>
              </w:rPr>
              <w:t>）系统的术语和定义、要求、试验条件和试验方法。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本标准适用于安装有车道保持辅助（</w:t>
            </w:r>
            <w:r>
              <w:rPr>
                <w:rFonts w:ascii="仿宋_GB2312" w:hAnsi="宋体" w:eastAsia="仿宋_GB2312" w:cs="仿宋_GB2312"/>
              </w:rPr>
              <w:t>LKA</w:t>
            </w:r>
            <w:r>
              <w:rPr>
                <w:rFonts w:hint="eastAsia" w:ascii="仿宋_GB2312" w:hAnsi="宋体" w:eastAsia="仿宋_GB2312" w:cs="仿宋_GB2312"/>
              </w:rPr>
              <w:t>）系统的</w:t>
            </w:r>
            <w:r>
              <w:rPr>
                <w:rFonts w:ascii="仿宋_GB2312" w:hAnsi="宋体" w:eastAsia="仿宋_GB2312" w:cs="仿宋_GB2312"/>
              </w:rPr>
              <w:t>M1</w:t>
            </w:r>
            <w:r>
              <w:rPr>
                <w:rFonts w:hint="eastAsia" w:ascii="仿宋_GB2312" w:hAnsi="宋体" w:eastAsia="仿宋_GB2312" w:cs="仿宋_GB2312"/>
              </w:rPr>
              <w:t>类汽车，其它车辆可参照执行。</w:t>
            </w:r>
          </w:p>
        </w:tc>
        <w:tc>
          <w:tcPr>
            <w:tcW w:w="1762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</w:rPr>
            </w:pPr>
          </w:p>
        </w:tc>
      </w:tr>
    </w:tbl>
    <w:p>
      <w:pPr>
        <w:jc w:val="left"/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Quad Arrow 1025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57340180">
    <w:nsid w:val="272E3714"/>
    <w:multiLevelType w:val="multilevel"/>
    <w:tmpl w:val="272E3714"/>
    <w:lvl w:ilvl="0" w:tentative="1">
      <w:start w:val="1"/>
      <w:numFmt w:val="decimal"/>
      <w:lvlText w:val="%1"/>
      <w:lvlJc w:val="center"/>
      <w:pPr>
        <w:tabs>
          <w:tab w:val="left" w:pos="113"/>
        </w:tabs>
        <w:ind w:left="113"/>
      </w:pPr>
      <w:rPr>
        <w:rFonts w:hint="eastAsia" w:eastAsia="仿宋"/>
        <w:b w:val="0"/>
        <w:bCs w:val="0"/>
        <w:i w:val="0"/>
        <w:iCs w:val="0"/>
        <w:sz w:val="21"/>
        <w:szCs w:val="21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573401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FC84AA7"/>
    <w:rsid w:val="00007C74"/>
    <w:rsid w:val="00176A79"/>
    <w:rsid w:val="001F3E11"/>
    <w:rsid w:val="002F26D8"/>
    <w:rsid w:val="003A47E7"/>
    <w:rsid w:val="00466D5F"/>
    <w:rsid w:val="004F51B7"/>
    <w:rsid w:val="00657F73"/>
    <w:rsid w:val="00710548"/>
    <w:rsid w:val="007A60E8"/>
    <w:rsid w:val="007C6540"/>
    <w:rsid w:val="0098315D"/>
    <w:rsid w:val="00A67506"/>
    <w:rsid w:val="00B21AC0"/>
    <w:rsid w:val="00B550EC"/>
    <w:rsid w:val="00C25800"/>
    <w:rsid w:val="00C660D7"/>
    <w:rsid w:val="00CC7AB2"/>
    <w:rsid w:val="00CE3DEC"/>
    <w:rsid w:val="00D118B6"/>
    <w:rsid w:val="00D3261A"/>
    <w:rsid w:val="00F570CA"/>
    <w:rsid w:val="0EF51D24"/>
    <w:rsid w:val="104E2E85"/>
    <w:rsid w:val="1B7E2790"/>
    <w:rsid w:val="1DE71BA2"/>
    <w:rsid w:val="264264DA"/>
    <w:rsid w:val="29CD0BE8"/>
    <w:rsid w:val="30405471"/>
    <w:rsid w:val="35793E78"/>
    <w:rsid w:val="3E216D9F"/>
    <w:rsid w:val="413F2B37"/>
    <w:rsid w:val="43AE439F"/>
    <w:rsid w:val="4FC84AA7"/>
    <w:rsid w:val="51135E7E"/>
    <w:rsid w:val="68072F55"/>
    <w:rsid w:val="6B80414A"/>
    <w:rsid w:val="71DD6753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样式1"/>
    <w:basedOn w:val="1"/>
    <w:qFormat/>
    <w:uiPriority w:val="99"/>
    <w:rPr>
      <w:rFonts w:ascii="Calibri" w:hAnsi="Calibri" w:cs="Calibri"/>
    </w:rPr>
  </w:style>
  <w:style w:type="paragraph" w:customStyle="1" w:styleId="7">
    <w:name w:val="段"/>
    <w:basedOn w:val="1"/>
    <w:qFormat/>
    <w:uiPriority w:val="99"/>
    <w:pPr>
      <w:widowControl/>
      <w:autoSpaceDE w:val="0"/>
      <w:autoSpaceDN w:val="0"/>
      <w:ind w:firstLine="420" w:firstLineChars="200"/>
    </w:pPr>
    <w:rPr>
      <w:rFonts w:ascii="宋体" w:cs="宋体"/>
      <w:kern w:val="0"/>
    </w:rPr>
  </w:style>
  <w:style w:type="character" w:customStyle="1" w:styleId="8">
    <w:name w:val="Footer Char"/>
    <w:basedOn w:val="4"/>
    <w:link w:val="2"/>
    <w:semiHidden/>
    <w:locked/>
    <w:uiPriority w:val="99"/>
    <w:rPr>
      <w:sz w:val="18"/>
      <w:szCs w:val="18"/>
    </w:rPr>
  </w:style>
  <w:style w:type="character" w:customStyle="1" w:styleId="9">
    <w:name w:val="Header Char"/>
    <w:basedOn w:val="4"/>
    <w:link w:val="3"/>
    <w:semiHidden/>
    <w:locked/>
    <w:uiPriority w:val="99"/>
    <w:rPr>
      <w:sz w:val="18"/>
      <w:szCs w:val="18"/>
    </w:rPr>
  </w:style>
  <w:style w:type="character" w:customStyle="1" w:styleId="10">
    <w:name w:val="short_text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</Company>
  <Pages>1</Pages>
  <Words>60</Words>
  <Characters>344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2019-07-17T08:19:00Z</dcterms:created>
  <dc:creator>chencm</dc:creator>
  <cp:lastModifiedBy>Administrator</cp:lastModifiedBy>
  <cp:lastPrinted>2019-07-17T08:46:00Z</cp:lastPrinted>
  <dcterms:modified xsi:type="dcterms:W3CDTF">2019-07-25T08:12:40Z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