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工业和信息化部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2019年第一批推荐性国家标准制修订计划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  <w:r>
        <w:rPr>
          <w:rFonts w:hint="eastAsia" w:ascii="黑体" w:eastAsia="黑体"/>
          <w:spacing w:val="40"/>
          <w:sz w:val="52"/>
        </w:rPr>
        <w:t>（征求意见稿）</w:t>
      </w: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beforeLines="50" w:after="156" w:afterLines="50" w:line="20" w:lineRule="auto"/>
        <w:jc w:val="center"/>
        <w:rPr>
          <w:rFonts w:ascii="黑体" w:eastAsia="黑体"/>
          <w:spacing w:val="40"/>
          <w:sz w:val="52"/>
        </w:rPr>
      </w:pP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工业和信息化部科技司</w:t>
      </w:r>
    </w:p>
    <w:p>
      <w:pPr>
        <w:spacing w:before="156" w:after="156" w:line="20" w:lineRule="auto"/>
        <w:jc w:val="center"/>
        <w:rPr>
          <w:rFonts w:ascii="黑体" w:eastAsia="黑体"/>
          <w:spacing w:val="40"/>
          <w:sz w:val="32"/>
        </w:rPr>
      </w:pPr>
      <w:r>
        <w:rPr>
          <w:rFonts w:hint="eastAsia" w:ascii="黑体" w:eastAsia="黑体"/>
          <w:spacing w:val="40"/>
          <w:sz w:val="32"/>
        </w:rPr>
        <w:t>二○一九年三月</w:t>
      </w:r>
    </w:p>
    <w:p>
      <w:pPr>
        <w:spacing w:line="20" w:lineRule="auto"/>
        <w:jc w:val="center"/>
        <w:rPr>
          <w:rFonts w:ascii="黑体" w:eastAsia="黑体"/>
          <w:sz w:val="32"/>
        </w:rPr>
      </w:pPr>
      <w:r>
        <w:rPr>
          <w:rFonts w:ascii="黑体" w:eastAsia="黑体"/>
          <w:spacing w:val="40"/>
          <w:sz w:val="32"/>
        </w:rPr>
        <w:br w:type="page"/>
      </w:r>
      <w:r>
        <w:rPr>
          <w:rFonts w:hint="eastAsia" w:ascii="黑体" w:eastAsia="黑体"/>
          <w:sz w:val="32"/>
        </w:rPr>
        <w:t>2019年第一批推荐性国家标准制修订计划汇总表</w:t>
      </w:r>
      <w:bookmarkStart w:id="0" w:name="A1"/>
      <w:bookmarkEnd w:id="0"/>
    </w:p>
    <w:tbl>
      <w:tblPr>
        <w:tblStyle w:val="8"/>
        <w:tblW w:w="14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822"/>
        <w:gridCol w:w="1060"/>
        <w:gridCol w:w="826"/>
        <w:gridCol w:w="826"/>
        <w:gridCol w:w="826"/>
        <w:gridCol w:w="826"/>
        <w:gridCol w:w="826"/>
        <w:gridCol w:w="826"/>
        <w:gridCol w:w="1061"/>
        <w:gridCol w:w="826"/>
        <w:gridCol w:w="826"/>
        <w:gridCol w:w="826"/>
        <w:gridCol w:w="826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9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申报部门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/领域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性质</w:t>
            </w: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制修订</w:t>
            </w:r>
          </w:p>
        </w:tc>
        <w:tc>
          <w:tcPr>
            <w:tcW w:w="4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标准类别</w:t>
            </w:r>
          </w:p>
        </w:tc>
        <w:tc>
          <w:tcPr>
            <w:tcW w:w="10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采用国际和国外先进标准数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9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强制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推荐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指导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制定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修订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节能与综合利用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工程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生产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产品类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标准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样品</w:t>
            </w:r>
          </w:p>
        </w:tc>
        <w:tc>
          <w:tcPr>
            <w:tcW w:w="10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65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安全生产司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民爆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装备工业司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智能制造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电子信息司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电子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53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信息通信发展司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网络安全管理局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通信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20" w:lineRule="auto"/>
        <w:jc w:val="center"/>
        <w:rPr>
          <w:rFonts w:ascii="黑体" w:eastAsia="黑体"/>
          <w:sz w:val="48"/>
        </w:rPr>
      </w:pPr>
      <w:r>
        <w:rPr>
          <w:rFonts w:ascii="宋体" w:hAnsi="宋体"/>
          <w:sz w:val="20"/>
        </w:rPr>
        <w:br w:type="page"/>
      </w:r>
      <w:r>
        <w:rPr>
          <w:rFonts w:hint="eastAsia" w:ascii="黑体" w:eastAsia="黑体"/>
          <w:sz w:val="48"/>
        </w:rPr>
        <w:t>目  录</w:t>
      </w:r>
      <w:bookmarkStart w:id="1" w:name="A2"/>
      <w:bookmarkEnd w:id="1"/>
    </w:p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  <w:sectPr>
          <w:footerReference r:id="rId3" w:type="default"/>
          <w:pgSz w:w="16838" w:h="11906" w:orient="landscape"/>
          <w:pgMar w:top="873" w:right="663" w:bottom="873" w:left="1230" w:header="851" w:footer="992" w:gutter="0"/>
          <w:cols w:space="425" w:num="1"/>
          <w:titlePg/>
          <w:docGrid w:type="lines" w:linePitch="312" w:charSpace="0"/>
        </w:sectPr>
      </w:pPr>
      <w:r>
        <w:rPr>
          <w:rFonts w:ascii="宋体" w:hAnsi="宋体"/>
          <w:sz w:val="20"/>
        </w:rPr>
        <w:fldChar w:fldCharType="begin"/>
      </w:r>
      <w:r>
        <w:rPr>
          <w:rFonts w:ascii="宋体" w:hAnsi="宋体"/>
          <w:sz w:val="20"/>
        </w:rPr>
        <w:instrText xml:space="preserve"> INDEX \e "</w:instrText>
      </w:r>
      <w:r>
        <w:rPr>
          <w:rFonts w:ascii="宋体" w:hAnsi="宋体"/>
          <w:sz w:val="20"/>
        </w:rPr>
        <w:tab/>
      </w:r>
      <w:r>
        <w:rPr>
          <w:rFonts w:ascii="宋体" w:hAnsi="宋体"/>
          <w:sz w:val="20"/>
        </w:rPr>
        <w:instrText xml:space="preserve">" \y \o "P" \c "1" \z "2052" </w:instrText>
      </w:r>
      <w:r>
        <w:rPr>
          <w:rFonts w:ascii="宋体" w:hAnsi="宋体"/>
          <w:sz w:val="20"/>
        </w:rPr>
        <w:fldChar w:fldCharType="separate"/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  <w:lang w:eastAsia="zh-CN"/>
        </w:rPr>
        <w:t>智能制造</w:t>
      </w:r>
      <w:r>
        <w:rPr>
          <w:rFonts w:hint="eastAsia"/>
          <w:b/>
        </w:rPr>
        <w:t>标准项目计划表</w:t>
      </w:r>
      <w:r>
        <w:rPr>
          <w:b/>
        </w:rPr>
        <w:tab/>
      </w:r>
      <w:r>
        <w:rPr>
          <w:b/>
        </w:rPr>
        <w:t>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智能制造</w:t>
      </w:r>
      <w:r>
        <w:tab/>
      </w:r>
      <w:r>
        <w:t>4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民爆行业标准项目计划表</w:t>
      </w:r>
      <w:r>
        <w:rPr>
          <w:b/>
        </w:rPr>
        <w:tab/>
      </w:r>
      <w:r>
        <w:rPr>
          <w:b/>
        </w:rPr>
        <w:t>6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安全生产</w:t>
      </w:r>
      <w:r>
        <w:tab/>
      </w:r>
      <w:r>
        <w:t>6</w:t>
      </w:r>
    </w:p>
    <w:p>
      <w:pPr>
        <w:pStyle w:val="4"/>
        <w:tabs>
          <w:tab w:val="right" w:leader="dot" w:pos="14935"/>
        </w:tabs>
        <w:rPr>
          <w:b/>
        </w:rPr>
      </w:pPr>
      <w:r>
        <w:rPr>
          <w:rFonts w:hint="eastAsia"/>
          <w:b/>
        </w:rPr>
        <w:t>电子行业标准项目计划表</w:t>
      </w:r>
      <w:r>
        <w:rPr>
          <w:b/>
        </w:rPr>
        <w:tab/>
      </w:r>
      <w:r>
        <w:rPr>
          <w:b/>
        </w:rPr>
        <w:t>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车联网</w:t>
      </w:r>
      <w:r>
        <w:tab/>
      </w:r>
      <w:r>
        <w:t>7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电真空</w:t>
      </w:r>
      <w:r>
        <w:tab/>
      </w:r>
      <w:r>
        <w:t>10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碱性电池</w:t>
      </w:r>
      <w:r>
        <w:tab/>
      </w:r>
      <w:r>
        <w:t>11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可信性</w:t>
      </w:r>
      <w:r>
        <w:tab/>
      </w:r>
      <w:r>
        <w:t>12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雷达</w:t>
      </w:r>
      <w:r>
        <w:tab/>
      </w:r>
      <w:r>
        <w:t>13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无人驾驶航空器</w:t>
      </w:r>
      <w:r>
        <w:tab/>
      </w:r>
      <w:r>
        <w:t>14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虚拟现实</w:t>
      </w:r>
      <w:r>
        <w:tab/>
      </w:r>
      <w:r>
        <w:t>15</w:t>
      </w:r>
    </w:p>
    <w:p>
      <w:pPr>
        <w:pStyle w:val="4"/>
        <w:tabs>
          <w:tab w:val="right" w:leader="dot" w:pos="14935"/>
        </w:tabs>
        <w:ind w:firstLine="420" w:firstLineChars="200"/>
      </w:pPr>
      <w:r>
        <w:rPr>
          <w:rFonts w:hint="eastAsia"/>
        </w:rPr>
        <w:t>智慧健康养老</w:t>
      </w:r>
      <w:r>
        <w:tab/>
      </w:r>
      <w:r>
        <w:t>16</w:t>
      </w:r>
    </w:p>
    <w:p>
      <w:pPr>
        <w:pStyle w:val="4"/>
        <w:tabs>
          <w:tab w:val="right" w:leader="dot" w:pos="14935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超级电容器</w:t>
      </w:r>
      <w:r>
        <w:tab/>
      </w:r>
      <w:r>
        <w:t>2</w:t>
      </w:r>
      <w:r>
        <w:rPr>
          <w:rFonts w:hint="eastAsia"/>
          <w:lang w:val="en-US" w:eastAsia="zh-CN"/>
        </w:rPr>
        <w:t>2</w:t>
      </w:r>
    </w:p>
    <w:p>
      <w:pPr>
        <w:pStyle w:val="4"/>
        <w:tabs>
          <w:tab w:val="right" w:leader="dot" w:pos="14935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磁性元件与铁氧体材料</w:t>
      </w:r>
      <w:r>
        <w:tab/>
      </w:r>
      <w:r>
        <w:t>2</w:t>
      </w:r>
      <w:r>
        <w:rPr>
          <w:rFonts w:hint="eastAsia"/>
          <w:lang w:val="en-US" w:eastAsia="zh-CN"/>
        </w:rPr>
        <w:t>3</w:t>
      </w:r>
    </w:p>
    <w:p>
      <w:pPr>
        <w:pStyle w:val="4"/>
        <w:tabs>
          <w:tab w:val="right" w:leader="dot" w:pos="14935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电声学</w:t>
      </w:r>
      <w:r>
        <w:tab/>
      </w:r>
      <w:r>
        <w:t>2</w:t>
      </w:r>
      <w:r>
        <w:rPr>
          <w:rFonts w:hint="eastAsia"/>
          <w:lang w:val="en-US" w:eastAsia="zh-CN"/>
        </w:rPr>
        <w:t>4</w:t>
      </w:r>
    </w:p>
    <w:p>
      <w:pPr>
        <w:pStyle w:val="4"/>
        <w:tabs>
          <w:tab w:val="right" w:leader="dot" w:pos="14935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锂离子电池</w:t>
      </w:r>
      <w:r>
        <w:tab/>
      </w:r>
      <w:r>
        <w:t>2</w:t>
      </w:r>
      <w:r>
        <w:rPr>
          <w:rFonts w:hint="eastAsia"/>
          <w:lang w:val="en-US" w:eastAsia="zh-CN"/>
        </w:rPr>
        <w:t>5</w:t>
      </w:r>
    </w:p>
    <w:p>
      <w:pPr>
        <w:pStyle w:val="4"/>
        <w:tabs>
          <w:tab w:val="right" w:leader="dot" w:pos="14935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纤维光学</w:t>
      </w:r>
      <w:r>
        <w:tab/>
      </w:r>
      <w:r>
        <w:t>2</w:t>
      </w:r>
      <w:r>
        <w:rPr>
          <w:rFonts w:hint="eastAsia"/>
          <w:lang w:val="en-US" w:eastAsia="zh-CN"/>
        </w:rPr>
        <w:t>6</w:t>
      </w:r>
    </w:p>
    <w:p>
      <w:pPr>
        <w:pStyle w:val="4"/>
        <w:tabs>
          <w:tab w:val="right" w:leader="dot" w:pos="14935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音视频</w:t>
      </w:r>
      <w:r>
        <w:tab/>
      </w:r>
      <w:r>
        <w:t>2</w:t>
      </w:r>
      <w:r>
        <w:rPr>
          <w:rFonts w:hint="eastAsia"/>
          <w:lang w:val="en-US" w:eastAsia="zh-CN"/>
        </w:rPr>
        <w:t>7</w:t>
      </w:r>
    </w:p>
    <w:p>
      <w:pPr>
        <w:pStyle w:val="4"/>
        <w:tabs>
          <w:tab w:val="right" w:leader="dot" w:pos="14935"/>
        </w:tabs>
        <w:rPr>
          <w:rFonts w:hint="eastAsia" w:eastAsia="宋体"/>
          <w:b/>
          <w:lang w:val="en-US" w:eastAsia="zh-CN"/>
        </w:rPr>
      </w:pPr>
      <w:r>
        <w:rPr>
          <w:rFonts w:hint="eastAsia"/>
          <w:b/>
        </w:rPr>
        <w:t>通信行业标准项目计划表</w:t>
      </w:r>
      <w:r>
        <w:rPr>
          <w:b/>
        </w:rPr>
        <w:tab/>
      </w:r>
      <w:r>
        <w:rPr>
          <w:b/>
        </w:rPr>
        <w:t>2</w:t>
      </w:r>
      <w:r>
        <w:rPr>
          <w:rFonts w:hint="eastAsia"/>
          <w:b/>
          <w:lang w:val="en-US" w:eastAsia="zh-CN"/>
        </w:rPr>
        <w:t>8</w:t>
      </w:r>
    </w:p>
    <w:p>
      <w:pPr>
        <w:pStyle w:val="4"/>
        <w:tabs>
          <w:tab w:val="right" w:leader="dot" w:pos="14935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车联网</w:t>
      </w:r>
      <w:r>
        <w:tab/>
      </w:r>
      <w:r>
        <w:t>2</w:t>
      </w:r>
      <w:r>
        <w:rPr>
          <w:rFonts w:hint="eastAsia"/>
          <w:lang w:val="en-US" w:eastAsia="zh-CN"/>
        </w:rPr>
        <w:t>8</w:t>
      </w:r>
    </w:p>
    <w:p>
      <w:pPr>
        <w:pStyle w:val="4"/>
        <w:tabs>
          <w:tab w:val="right" w:leader="dot" w:pos="14935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工业互联网</w:t>
      </w:r>
      <w:r>
        <w:tab/>
      </w:r>
      <w:r>
        <w:t>3</w:t>
      </w:r>
      <w:r>
        <w:rPr>
          <w:rFonts w:hint="eastAsia"/>
          <w:lang w:val="en-US" w:eastAsia="zh-CN"/>
        </w:rPr>
        <w:t>0</w:t>
      </w:r>
      <w:bookmarkStart w:id="2" w:name="_GoBack"/>
      <w:bookmarkEnd w:id="2"/>
    </w:p>
    <w:p>
      <w:pPr>
        <w:pStyle w:val="4"/>
        <w:tabs>
          <w:tab w:val="right" w:leader="dot" w:pos="14935"/>
        </w:tabs>
        <w:ind w:firstLine="420" w:firstLineChars="200"/>
        <w:sectPr>
          <w:type w:val="continuous"/>
          <w:pgSz w:w="16838" w:h="11906" w:orient="landscape"/>
          <w:pgMar w:top="873" w:right="663" w:bottom="873" w:left="1230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fldChar w:fldCharType="end"/>
      </w: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年智能制造</w:t>
            </w:r>
            <w:r>
              <w:rPr>
                <w:rFonts w:ascii="黑体" w:hAnsi="宋体" w:eastAsia="黑体"/>
                <w:sz w:val="32"/>
              </w:rPr>
              <w:t>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汽车行业标准项目计划表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智能制造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智能制造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"http://219.239.107.155:8080/TaskBook.aspx?id=GSJCPZT00102019"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GSJCPZT0010-2019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射频识别系统 超高频RFID系统性能测试规范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中国电子技术标准化研究院、睿芯联科（北京）电子科技有限公司、北京中科佐迪克电子科技发展有限公司、紫光同芯微电子有限公司等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"http://219.239.107.155:8080/TaskBook.aspx?id=GSJCPZT00112019"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GSJCPZT0011-2019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射频识别系统 超高频读写器应用编程接口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中国电子技术标准化研究院、睿芯联科（北京）电子科技有限公司、爱康普科技（大连）有限公司、紫光同芯微电子有限公司等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"http://219.239.107.155:8080/TaskBook.aspx?id=GSJCPZT00122019"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GSJCPZT0012-2019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智能工厂 自动导引系统 数据要求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中国电子技术标准化研究院、北京机械工业自动化研究所、上海交通大学、北京工业大学、京东集团、上海灵至科技有限公司、沈阳新松机器人自动化股份有限公司、深圳市大疆创新科技有限公司等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"http://219.239.107.155:8080/TaskBook.aspx?id=GSJCPZT00132019"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GSJCPZT0013-2019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数字化车间 虚拟车间与物理车间集成规范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中国第一汽车集团有限公司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"http://219.239.107.155:8080/TaskBook.aspx?id=GSJCPZT00142019"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GSJCPZT0014-2019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设备远程运维平台系统架构规范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上海宝钢工业技术服务有限公司、中国电子技术标准化研究院、上海工业自动化仪表研究院有限公司、上海电器科学研究院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"http://219.239.107.155:8080/TaskBook.aspx?id=GSJCPZT00152019"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GSJCPZT0015-2019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智能制造 网络协同制造 资源模型与优化通用要求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中国电子技术标准化研究院、沈机（上海）智能系统研发设计有限公司、西安交通大学、美的、航天云网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"http://219.239.107.155:8080/TaskBook.aspx?id=GSJCPZT00162019"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GSJCPZT0016-2019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供应链网络协同制造 业务通用要求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装备工业司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中国电子技术标准化研究院、北京赛西科技有限责任公司、北京航天智造科技发展有限公司、中机生产力促进中心、浙江大学山东工业技术研究院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民爆行业标准项目计划表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民爆行业标准项目计划表</w:instrText>
            </w:r>
            <w:r>
              <w:instrText xml:space="preserve">" \\y "100010"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安全生产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安全生产</w:instrText>
            </w:r>
            <w:r>
              <w:instrText xml:space="preserve">" \y "100011"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"http://219.239.107.155:8080/TaskBook.aspx?id=GMBAQXT00172019"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GMBAQXT0017-2019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工业雷管延期时间测定方法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13225-1991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国家煤矿防爆安全产品质量监督检验中心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"http://219.239.107.155:8080/TaskBook.aspx?id=GMBAQXT00182019"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GMBAQXT0018-2019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工业导爆索试验方法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13224-1991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安全生产司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中国兵器工业标准化研究所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国营第一〇四厂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电子行业标准项目计划表</w:instrText>
            </w:r>
            <w:r>
              <w:instrText xml:space="preserve">" \\y "100020"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车联网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车联网</w:instrText>
            </w:r>
            <w:r>
              <w:instrText xml:space="preserve">" \y "100021"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"http://219.239.107.155:8080/TaskBook.aspx?id=GSJJCZT00192019"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GSJJCZT0019-2019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车联网 车载信息交互系统 数据采集技术要求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彩虹无线（北京）新技术有限公司、中国电子技术标准化研究院、阿里云计算有限公司、斑马网络技术有限公司、奇虎360科技有限公司、亮锐（上海）管理有限公司、盯盯拍（深圳）技术股份有限公司、麦克英孚（宁波）婴童用品有限公司、无锡睿米信息技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"http://219.239.107.155:8080/TaskBook.aspx?id=GSJJCZT00202019"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GSJJCZT0020-2019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车联网 车载应用服务平台 数据接口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阿里云计算有限公司、中国电子技术标准化研究院、斑马网络技术有限公司、奇虎360科技有限公司、亮锐（上海）管理有限公司、盯盯拍（深圳）技术股份有限公司、麦克英孚（宁波）婴童用品有限公司、无锡睿米信息技术有限公司、彩虹无线（北京）新技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"http://219.239.107.155:8080/TaskBook.aspx?id=GSJJCZT00212019"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GSJJCZT0021-2019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车联网 车载信息交互系统 数据采集测试方法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深圳赛西信息技术有限公司、延锋伟世通电子科技(上海)有限公司、北京理工大学、惠州市德赛西威汽车电子股份有限公司、合肥工业大学、上海眼控科技股份有限公司、北京中电华大电子设计有限责任公司、华砺智行（武汉）科技有限公司、吉利汽车研究院（宁波）有限公司、深圳市航盛电子股份有限公司、上海博泰悦臻电子设备制造有限公司、泰斗微电子科技有限公司、东莞正扬电子机械有限公司、深圳市赛格导航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"http://219.239.107.155:8080/TaskBook.aspx?id=GSJJCZT00222019"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GSJJCZT0022-2019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车联网 车载应用服务平台 数据接口测试规范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深圳赛西信息技术有限公司、延锋伟世通电子科技(上海)有限公司、北京理工大学、惠州市德赛西威汽车电子股份有限公司、上海眼控科技股份有限公司、华砺智行（武汉）科技有限公司、吉利汽车研究院（宁波）有限公司、深圳市航盛电子股份有限公司、上海博泰悦臻电子设备制造有限公司、远盟康健科技有限公司、泰斗微电子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电真空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电真空</w:instrText>
            </w:r>
            <w:r>
              <w:instrText xml:space="preserve">" \y "100031"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"http://219.239.107.155:8080/TaskBook.aspx?id=GSJCPZT00232019"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GSJCPZT0023-2019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日盲紫外像增强器技术要求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全国电真空器件标准化技术委员会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中国电子科技集团公司第五十五研究所、中国电子技术标准化研究院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"http://219.239.107.155:8080/TaskBook.aspx?id=GSJCPZT00242019"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GSJCPZT0024-2019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医用计算机断层扫描（CT）X 射线管组件通用技术条件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全国电真空器件标准化技术委员会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中国电子科技集团公司第十二研究所、中国电子技术标准化研究院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碱性电池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碱性电池</w:instrText>
            </w:r>
            <w:r>
              <w:instrText xml:space="preserve">" \y "100041"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"http://219.239.107.155:8080/TaskBook.aspx?id=GSJCPXT00252019"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GSJCPXT0025-2019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含碱性或其他非酸性电解质的蓄电池和蓄电池组 便携式锂蓄电池和蓄电池组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30426-2013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61960-3:2017,IDT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全国碱性蓄电池标准化技术委员会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天津力神电池股份有限公司、中国电子科技集团第十八研究所、中国电子技术标准化研究院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可信性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可信性</w:instrText>
            </w:r>
            <w:r>
              <w:instrText xml:space="preserve">" \y "100051"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"http://219.239.107.155:8080/TaskBook.aspx?id=GSJCPXT00262019"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GSJCPXT0026-2019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现场可信性数据收集指南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5081-1985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60300-3-2:2004,IDT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全国电工电子可靠性与维修性标准化技术委员会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工业和信息化部电子第五研究所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雷达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雷达</w:instrText>
            </w:r>
            <w:r>
              <w:instrText xml:space="preserve">" \y "100061"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"http://219.239.107.155:8080/TaskBook.aspx?id=GSJCPZT00272019"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GSJCPZT0027-2019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车载毫米波雷达通用规范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中国电子科技集团公司第三十八研究所、中国电子科技集团公司第二十九研究所、中国电子技术标准化研究院、江淮汽车集团股份有限公司、北京汽车研究总院越野车院、上海汽车集团公司等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无人驾驶航空器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无人驾驶航空器</w:instrText>
            </w:r>
            <w:r>
              <w:instrText xml:space="preserve">" \y "100071"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"http://219.239.107.155:8080/TaskBook.aspx?id=GSJCPZT00282019"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GSJCPZT0028-2019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民用无人驾驶航空器系统身份识别 第1部分：总则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中国电子技术标准化研究院、深圳市大疆创新科技有限公司、华为技术有限公司、中国航空综合技术研究所等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"http://219.239.107.155:8080/TaskBook.aspx?id=GSJCPZT00292019"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GSJCPZT0029-2019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民用无人驾驶航空器系统身份识别 第3部分：对象标识符编码规范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中国电子技术标准化研究院、深圳市大疆创新科技有限公司、华为技术有限公司、中国航空综合技术研究所等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"http://219.239.107.155:8080/TaskBook.aspx?id=GSJCPZT00302019"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GSJCPZT0030-2019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民用无人驾驶航空器系统身份识别 第4部分：流程通用要求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中国电子技术标准化研究院、深圳市大疆创新科技有限公司、华为技术有限公司、中国航空综合技术研究所等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虚拟现实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虚拟现实</w:instrText>
            </w:r>
            <w:r>
              <w:instrText xml:space="preserve">" \y "100081"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"http://219.239.107.155:8080/TaskBook.aspx?id=GSJCPZT00312019"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GSJCPZT0031-2019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虚拟现实设备接口 定位设备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全国音频、视频及多媒体系统与设备标准化技术委员会、全国信息技术标准化技术委员会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北京蚁视科技有限公司、深圳市眼界科技有限公司、北京航空航天大学、北京理工大学、歌尔股份、乐相大朋、成都理想境界、深圳TCL智能家庭科技有限公司、海尔集团、福建省海都公众服务股份有限公司、深圳市瑞吉电子科技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智慧健康养老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智慧健康养老</w:instrText>
            </w:r>
            <w:r>
              <w:instrText xml:space="preserve">" \y "100091"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"http://219.239.107.155:8080/TaskBook.aspx?id=GSJCPZT00322019"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GSJCPZT0032-2019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总体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11073-00103:2015,IDT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中国人民解放军总医院、北京理工大学、中国电子技术标准化研究院、北京大学、华龄出版社、广东省公安厅、中国标准化研究院、北京正达康健生物医学科技有限公司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"http://219.239.107.155:8080/TaskBook.aspx?id=GSJCPZT00332019"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GSJCPZT0033-2019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血压监测仪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11073-10407:2010,IDT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中国人民解放军总医院、北京理工大学、中国电子技术标准化研究院、广东省公安厅、中国标准化研究院、上海镁善斯健康科技有限公司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"http://219.239.107.155:8080/TaskBook.aspx?id=GSJCPZT00342019"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GSJCPZT0034-2019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血糖计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11073-10417:2017,IDT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中国人民解放军总医院、北京理工大学、华龄出版社、中国电子技术标准化研究院、外交部机关门诊部、广东省公安厅、中国标准化研究院、中宇华博（北京）科技有限公司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"http://219.239.107.155:8080/TaskBook.aspx?id=GSJCPZT00352019"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GSJCPZT0035-2019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心血管健康与活动监测器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11073-10441:2015,IDT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中国人民解放军总医院、北京理工大学、北京大学、中国电子技术标准化研究院、华龄出版社、北京政法职业学院、广东省公安厅、中国标准化研究院、北京正达康健生物医学科技有限公司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"http://219.239.107.155:8080/TaskBook.aspx?id=GSJCPZT00362019"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GSJCPZT0036-2019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体温计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11073-10408:2010,IDT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中国人民解放军总医院、北京理工大学、中国计量科学研究院、华龄出版社、中国电子技术标准化研究院、广东省公安厅、外交部机关门诊部、中国标准化研究院、上海镁善斯健康科技有限公司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"http://219.239.107.155:8080/TaskBook.aspx?id=GSJCPZT00372019"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GSJCPZT0037-2019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体重秤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11073-10415:2010,IDT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中国人民解放军总医院、北京理工大学、中国计量科学研究院、中国电子技术标准化研究院、华龄出版社、外交部机关门诊部、北京政法职业学院、广东省公安厅、中国标准化研究院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"http://219.239.107.155:8080/TaskBook.aspx?id=GSJCPZT00382019"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GSJCPZT0038-2019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尿液分析仪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11073-10422:2017,IDT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中国人民解放军总医院北京理工大学、外交部机关门诊部、华龄出版社、中国电子技术标准化研究院、中国标准化研究院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"http://219.239.107.155:8080/TaskBook.aspx?id=GSJCPZT00392019"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GSJCPZT0039-2019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基础心电图仪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11073-10406:2012,IDT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中国人民解放军总医院、北京理工大学、汕头大学第一附属医院、中国电子技术标准化研究院、中国标准化研究院、北京正达康健生物医学科技有限公司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"http://219.239.107.155:8080/TaskBook.aspx?id=GSJCPZT00402019"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GSJCPZT0040-2019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药物监测器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11073-10472:2012,IDT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中国人民解放军总医院、北京理工大学、中国电子技术标准化研究院、华龄出版社、中国标准化研究院、北京正达康健生物医学科技有限公司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"http://219.239.107.155:8080/TaskBook.aspx?id=GSJCPZT00412019"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GSJCPZT0041-2019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个人健康设备的电源状态监视器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11073-10427:2018,IDT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中国人民解放军总医院、北京理工大学、中国计量科学研究院、中国电子技术标准化研究院、华龄出版社、中国标准化研究院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"http://219.239.107.155:8080/TaskBook.aspx?id=GSJCPZT00422019"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GSJCPZT0042-2019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连续血糖监测仪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11073-10425:2016,IDT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中国人民解放军总医院、北京理工大学、吉林大学第一医院、中国电子技术标准化研究院、中国标准化研究院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"http://219.239.107.155:8080/TaskBook.aspx?id=GSJCPZT00432019"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GSJCPZT0043-2019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睡眠呼吸暂停治疗设备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11073-10424:2016,IDT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中国人民解放军总医院、北京理工大学、北京政法职业学院、中国电子技术标准化研究院、中国标准化研究院、上海镁善斯健康科技有限公司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"http://219.239.107.155:8080/TaskBook.aspx?id=GSJCPZT00442019"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GSJCPZT0044-2019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身体成分分析仪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11073-10420:2012,IDT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中国人民解放军总医院、北京理工大学、华龄出版社、中国电子技术标准化研究院、中国标准化研究院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"http://219.239.107.155:8080/TaskBook.aspx?id=GSJCPZT00452019"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GSJCPZT0045-2019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设备规范 胰岛素泵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11073-10419:2016,IDT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中国人民解放军总医院、北京理工大学、汕头大学第一附属医院、中国计量科学研究院、中国标准化研究院、上海镁善斯健康科技有限公司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"http://219.239.107.155:8080/TaskBook.aspx?id=GSJCPZT00462019"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GSJCPZT0046-2019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传输配置 连接电缆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11073-30200:2004,IDT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北京理工大学、中国人民解放军总医院、中国电子技术标准化研究院、大连理工大学、中国标准化研究院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"http://219.239.107.155:8080/TaskBook.aspx?id=GSJCPZT00472019"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GSJCPZT0047-2019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个人健康设备通信 传输配置 红外无线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11073-30300:2004,IDT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北京理工大学、中国人民解放军总医院、大连理工大学、中国标准化研究院、中国电子技术标准化研究院、北京正达康健生物医学科技有限公司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"http://219.239.107.155:8080/TaskBook.aspx?id=GSJCPZT00482019"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GSJCPZT0048-2019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个人健康设备术语 心电图注释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11073-10102:2014,IDT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中国人民解放军总医院、北京理工大学、中国计量科学研究院、中国电子技术标准化研究院、中国标准研究院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"http://219.239.107.155:8080/TaskBook.aspx?id=GSJCPZT00492019"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GSJCPZT0049-2019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即时检测医疗设备通信 无线射频技术使用指南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11073-00101:2008,IDT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北京理工大学、中国人民解放军总医院、大连理工大学、中国电子技术标准化研究院、中国标准化研究院、北京正达康健生物医学科技有限公司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"http://219.239.107.155:8080/TaskBook.aspx?id=GSJCPZT00502019"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即时检测医疗设备通信 命名法 植入式心脏设备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ISO/IEEE 11073-10103:2014,IDT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中国人民解放军总医院、北京理工大学、中国电子技术标准化研究院、大连理工大学、中国标准化研究院、上海镁善斯健康科技有限公司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"http://219.239.107.155:8080/TaskBook.aspx?id=GSJCPZT00512019"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智慧家庭 健康养老云平台服务接口通用技术要求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中国电子技术标准化研究院、深圳TCL智能家庭科技有限公司、海尔集团、美的集团等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"http://219.239.107.155:8080/TaskBook.aspx?id=GSJCPZT00522019"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健康信息学 电子数据架构要求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18308-2011,IDT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华北电力大学、北京理工大学、中国人民解放军总医院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"http://219.239.107.155:8080/TaskBook.aspx?id=GSJCPZT00532019"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医学数字成像与通信 第1部分：标准体系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12052:2017 PS 3.1,IDT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中国人民解放军总医院、北京理工大学、中国电子技术标准化研究院、南京大学、中国标准化研究院、上海镁善斯健康科技有限公司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"http://219.239.107.155:8080/TaskBook.aspx?id=GSJCPZT00542019"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医学数字成像与通信 第2部分：一致性声明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12052:2017 PS 3.2,IDT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中国人民解放军总医院、北京理工大学、中国计量科学研究院、南京大学、中国标准化研究院、中国电子技术标准化研究院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"http://219.239.107.155:8080/TaskBook.aspx?id=GSJCPZT00552019"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医学数字成像与通信 第4部分：服务类型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12052:2017 PS 3.4,IDT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北京理工大学、中国人民解放军总医院、南京大学、中国电子技术标准化研究院、中国标准化研究院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"http://219.239.107.155:8080/TaskBook.aspx?id=GSJCPZT00562019"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医学数字成像与通信 第7部分：消息交换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12052:2017 PS 3.7,IDT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中国人民解放军总医院、北京理工大学、中国电子技术标准化研究院、中国标准化研究院、上海镁善斯健康科技有限公司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"http://219.239.107.155:8080/TaskBook.aspx?id=GSJCPZT00572019"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医学数字成像与通信 第8部分：用于消息交换的网络通信支持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12052:2017 PS 3.8,IDT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北京理工大学、中国人民解放军总医院、中国电子技术标准化研究院、北京大学、吉林大学第一医院、中国标准化研究院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"http://219.239.107.155:8080/TaskBook.aspx?id=GSJCPZT00582019"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 医学数字成像与通信 第18部分：网络服务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12052:2017 PS 3.18,IDT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北京理工大学、中国人民解放军总医院、北京政法职业学院、北京大学、中国标准化研究院、中国电子技术标准化研究院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"http://219.239.107.155:8080/TaskBook.aspx?id=GSJCPZT00592019"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GSJCPZT0059-2019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信息技术 自动识别和数据捕获技术 阿兹特克代码条码符号规范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ISO/IEC 24778:2008,IDT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北京理工大学、中国人民解放军总医院、中国电子技术标准化研究院、中国标准化研究院、北京正达康健生物医学科技有限公司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"http://219.239.107.155:8080/TaskBook.aspx?id=GSJCPZT00602019"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健康信息学 假名化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25237:2017,IDT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中国人民警察大学、北京理工大学、中国人民解放军总医院、中国电子技术标准化研究院、廊坊市人民医院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"http://219.239.107.155:8080/TaskBook.aspx?id=GSJCPZT00612019"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健康信息学 个人健康信息国际间流动保护指南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ISO 22857:2013,IDT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工业和信息化部（电子）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中国人民警察大学、北京理工大学、中国人民解放军总医院、中国电子技术标准化研究院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both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超级电容器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超级电容器</w:instrText>
            </w:r>
            <w:r>
              <w:instrText xml:space="preserve">" \y "100101"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"http://219.239.107.155:8080/TaskBook.aspx?id=GSJCPZT00622019"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超级电容器电极片物理性能测试方法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中国科学院山西煤炭化学研究所、中国科学院山西煤炭化学研究所、中天储能科技有限公司、广东必优特电子科技有限公司等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磁性元件与铁氧体材料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磁性元件与铁氧体材料</w:instrText>
            </w:r>
            <w:r>
              <w:instrText xml:space="preserve">" \y "100111"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"http://219.239.107.155:8080/TaskBook.aspx?id=GSJCPZT00632019"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金属磁粉心 尺寸和表面缺陷极限导则 第2部分：环形磁粉心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全国磁性元件与铁氧体材料标准化技术委员会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北京七星飞行电子有限公司、中国电子技术标准化研究院、南京新康达磁业股份有限公司、横店集团东磁股份有限公司、安泰科技股份有限公司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"http://219.239.107.155:8080/TaskBook.aspx?id=GSJCPZT00642019"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金属磁粉心 尺寸和表面缺陷极限导则 第1部分：通用规范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全国磁性元件与铁氧体材料标准化技术委员会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南京新康达磁业股份有限公司、中国电子技术标准化研究院、北京七星飞行电子有限公司、横店集团东磁股份有限公司、安泰科技股份有限公司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"http://219.239.107.155:8080/TaskBook.aspx?id=GSJCPZT00652019"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微型扬声器测量方法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63034 CDV,IDT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南京大学声学研究所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电声学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电声学</w:instrText>
            </w:r>
            <w:r>
              <w:instrText xml:space="preserve">" \y "100121"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"http://219.239.107.155:8080/TaskBook.aspx?id=GSJCPXT00662019"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GSJCPXT0066-2019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电声学 助听器通用规范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修订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GB/T 14199-2010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全国电声学标准化技术委员会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国家康复器械质量监督检验中心、江苏医疗器械检验所、索诺瓦听力技术（上海）有限公司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锂离子电池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锂离子电池</w:instrText>
            </w:r>
            <w:r>
              <w:instrText xml:space="preserve">" \y "100131"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"http://219.239.107.155:8080/TaskBook.aspx?id=GSJCPZT00672019"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GSJCPZT0067-2019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锂离子电池管理系统设计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合肥国轩高科动力能源有限公司、锂离子电池安全标准特别工作组（中国电子技术标准化研究院、宁德时代新能源科技股份有限公司、欣旺达电子股份有限公司、深圳市比亚迪锂电池有限公司等）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"http://219.239.107.155:8080/TaskBook.aspx?id=GSJCPZT00682019"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GSJCPZT0068-2019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含碱性或其它非酸性电解质的蓄电池和蓄电池组 工业设备用锂蓄电池和电池组安全要求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62619:2017,IDT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全国碱性蓄电池标准化技术委员会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锂离子电池安全标准特别工作组（宁德时代新能源科技股份有限公司、欣旺达电子股份有限公司、深圳市比亚迪锂电池有限公司、合肥国轩高科动力能源有限公司等）、中国电子科技集团第十八研究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纤维光学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纤维光学</w:instrText>
            </w:r>
            <w:r>
              <w:instrText xml:space="preserve">" \y "100141"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"http://219.239.107.155:8080/TaskBook.aspx?id=GSJCPZT00692019"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GSJCPZT0069-2019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偏振保持光纤分规范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IEC 60793-2-70:2017,MOD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工业和信息化部电子工业标准化研究院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江苏亨通光纤科技有限公司、中国电子技术标准化研究院、富通集团股份公司等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电子行业标准项目计划表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音视频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音视频</w:instrText>
            </w:r>
            <w:r>
              <w:instrText xml:space="preserve">" \y "100151"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"http://219.239.107.155:8080/TaskBook.aspx?id=GSJCPZT00702019"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GSJCPZT0070-2019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液晶电视机画质测试与评价 第1部分：测试方法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TCL集团股份有限公司、中国电子技术标准化研究院、国家数字音视频及多媒体产品质量监督检验中心、康佳集团股份有限公司、北京小米电子产品有限公司、青岛海信电器股份有限公司等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"http://219.239.107.155:8080/TaskBook.aspx?id=GSJCPZT00712019"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GSJCPZT0071-2019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多媒体设备充电线、数据线通用规范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电子信息司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全国音频、视频及多媒体系统与设备标准化技术委员会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中国电子技术标准化研究院、中国通信工业协会、深圳创维新世界科技有限公司等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通信行业标准项目计划表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通信行业标准项目计划表</w:instrText>
            </w:r>
            <w:r>
              <w:instrText xml:space="preserve">" \\y "100160"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车联网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车联网</w:instrText>
            </w:r>
            <w:r>
              <w:instrText xml:space="preserve">" \y "100161"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"http://www.ccsa.org.cn/docs/shenbao/gongshi_file/201903/G_2018007463.doc"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GYDCPZT0072-2019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基于LTE的车联网无线通信技术 总体技术要求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大唐电信科技产业集团（电信科学技术研究院）、中关村中交国通智能交通产业联盟、华为技术有限公司、中国汽车技术研究中心有限公司、中兴通讯股份有限公司、中国移动通信集团有限公司、高通无线通信技术(中国)有限公司、国家无线电监测中心检测中心、中国联合网络通信集团有限公司、中国电信集团有限公司、上海诺基亚贝尔股份有限公司、爱立信（中国）通信有限公司、北京小米移动软件有限公司、联发博动科技（北京）有限公司、北京三星通信技术研究有限公司、烽火科技集团有限公司、OPPO广东移动通信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"http://www.ccsa.org.cn/docs/shenbao/gongshi_file/201903/G_2018007475.doc"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GYDCPZT0073-2019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基于LTE的车联网无线通信技术 空中接口技术要求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信息通信发展司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大唐电信科技产业集团（电信科学技术研究院）、中国信息通信研究院、中关村中交国通智能交通产业联盟、华为技术有限公司、中国汽车技术研究中心有限公司、中兴通讯股份有限公司、中国移动通信集团有限公司、高通无线通信技术(中国)有限公司、国家无线电监测中心检测中心、中国联合网络通信集团有限公司、中国电信集团有限公司、上海诺基亚贝尔股份有限公司、爱立信（中国）通信有限公司、北京小米移动软件有限公司、联发博动科技（北京）有限公司、北京三星通信技术研究有限公司、烽火科技集团有限公司、OPPO广东移动通信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auto"/>
        <w:jc w:val="center"/>
        <w:rPr>
          <w:rFonts w:ascii="宋体" w:hAnsi="宋体"/>
          <w:sz w:val="20"/>
        </w:rPr>
      </w:pPr>
    </w:p>
    <w:p>
      <w:pPr>
        <w:spacing w:line="20" w:lineRule="auto"/>
        <w:jc w:val="center"/>
        <w:rPr>
          <w:rFonts w:ascii="宋体" w:hAnsi="宋体"/>
          <w:sz w:val="20"/>
        </w:rPr>
      </w:pPr>
      <w:r>
        <w:rPr>
          <w:rFonts w:ascii="宋体" w:hAnsi="宋体"/>
          <w:sz w:val="20"/>
        </w:rPr>
        <w:br w:type="page"/>
      </w:r>
    </w:p>
    <w:tbl>
      <w:tblPr>
        <w:tblStyle w:val="8"/>
        <w:tblW w:w="15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25"/>
        <w:gridCol w:w="2508"/>
        <w:gridCol w:w="588"/>
        <w:gridCol w:w="588"/>
        <w:gridCol w:w="1140"/>
        <w:gridCol w:w="1140"/>
        <w:gridCol w:w="588"/>
        <w:gridCol w:w="1377"/>
        <w:gridCol w:w="2086"/>
        <w:gridCol w:w="2244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line="20" w:lineRule="auto"/>
              <w:jc w:val="center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2019</w:t>
            </w:r>
            <w:r>
              <w:rPr>
                <w:rFonts w:hint="eastAsia" w:ascii="黑体" w:hAnsi="宋体" w:eastAsia="黑体"/>
                <w:sz w:val="32"/>
                <w:lang w:eastAsia="zh-CN"/>
              </w:rPr>
              <w:t>年</w:t>
            </w:r>
            <w:r>
              <w:rPr>
                <w:rFonts w:ascii="黑体" w:hAnsi="宋体" w:eastAsia="黑体"/>
                <w:sz w:val="32"/>
              </w:rPr>
              <w:t>通信行业标准项目计划表</w:t>
            </w:r>
          </w:p>
          <w:p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宋体" w:hAnsi="宋体"/>
                <w:sz w:val="20"/>
              </w:rPr>
              <w:t>工业互联网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工业互联网</w:instrText>
            </w:r>
            <w:r>
              <w:instrText xml:space="preserve">" \y "100171"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部内主管司局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"http://www.ccsa.org.cn/docs/shenbao/gongshi_file/201810/G_2017005685.doc"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GYDCPZT0074-2019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工业互联网平台安全防护要求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中国信息通信研究院、四川天邑康和通信股份有限公司、通鼎互联信息股份有限公司、新华三技术有限公司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"http://www.ccsa.org.cn/docs/shenbao/gongshi_file/201810/G_2017005686.doc"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GYDCPZT0075-2019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工业互联网安全能力成熟度评估规范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北京奇安信科技有限公司、四川天邑康和通信股份有限公司、通鼎互联信息股份有限公司、新华三技术有限公司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 w:hAnsi="宋体"/>
                <w:sz w:val="18"/>
              </w:rPr>
            </w:pPr>
            <w:r>
              <w:fldChar w:fldCharType="begin"/>
            </w:r>
            <w:r>
              <w:instrText xml:space="preserve"> HYPERLINK "http://www.ccsa.org.cn/docs/shenbao/gongshi_file/201810/G_2017005751.doc" </w:instrText>
            </w:r>
            <w:r>
              <w:fldChar w:fldCharType="separate"/>
            </w:r>
            <w:r>
              <w:rPr>
                <w:rFonts w:ascii="宋体" w:hAnsi="宋体"/>
                <w:sz w:val="18"/>
              </w:rPr>
              <w:t>GYDCPZT0076-2019</w:t>
            </w:r>
            <w:r>
              <w:rPr>
                <w:rFonts w:ascii="宋体" w:hAnsi="宋体"/>
                <w:sz w:val="18"/>
              </w:rPr>
              <w:fldChar w:fldCharType="end"/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工业互联网数据安全保护要求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2020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网络安全管理局、信息通信管理局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全国通信标准化技术委员会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中国信息通信研究院、北京奇安信科技有限公司、四川天邑康和通信股份有限公司、通鼎互联信息股份有限公司、新华三技术有限公司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type w:val="continuous"/>
      <w:pgSz w:w="16838" w:h="11906" w:orient="landscape"/>
      <w:pgMar w:top="873" w:right="663" w:bottom="873" w:left="123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\\* MERGEFORMAT </w:instrText>
    </w:r>
    <w:r>
      <w:fldChar w:fldCharType="separate"/>
    </w:r>
    <w:r>
      <w:t>31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multilevel"/>
    <w:tmpl w:val="508300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3"/>
    <w:rsid w:val="002B1642"/>
    <w:rsid w:val="002D46FF"/>
    <w:rsid w:val="007D62E5"/>
    <w:rsid w:val="00B13AA4"/>
    <w:rsid w:val="00D20112"/>
    <w:rsid w:val="00E422E3"/>
    <w:rsid w:val="00E57D8B"/>
    <w:rsid w:val="00F3660A"/>
    <w:rsid w:val="00F61C76"/>
    <w:rsid w:val="00F95496"/>
    <w:rsid w:val="040712B0"/>
    <w:rsid w:val="0BB31A2E"/>
    <w:rsid w:val="0FBD4510"/>
    <w:rsid w:val="10E13E3B"/>
    <w:rsid w:val="1A720CA1"/>
    <w:rsid w:val="24C4569E"/>
    <w:rsid w:val="29A121BB"/>
    <w:rsid w:val="3BC43C7F"/>
    <w:rsid w:val="3F51301E"/>
    <w:rsid w:val="433C488F"/>
    <w:rsid w:val="4787254A"/>
    <w:rsid w:val="497E0716"/>
    <w:rsid w:val="4B651FE9"/>
    <w:rsid w:val="511E0EAB"/>
    <w:rsid w:val="524B7E72"/>
    <w:rsid w:val="5397093B"/>
    <w:rsid w:val="53B062AD"/>
    <w:rsid w:val="65443212"/>
    <w:rsid w:val="695B54A2"/>
    <w:rsid w:val="7216515C"/>
    <w:rsid w:val="7FC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index 1"/>
    <w:basedOn w:val="1"/>
    <w:next w:val="1"/>
    <w:uiPriority w:val="99"/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3"/>
    <w:qFormat/>
    <w:uiPriority w:val="0"/>
    <w:rPr>
      <w:sz w:val="18"/>
      <w:szCs w:val="18"/>
    </w:rPr>
  </w:style>
  <w:style w:type="character" w:customStyle="1" w:styleId="11">
    <w:name w:val="页脚 Char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8DF800-0454-4799-8A4A-95F7EE02C9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2795</Words>
  <Characters>15937</Characters>
  <Lines>132</Lines>
  <Paragraphs>37</Paragraphs>
  <TotalTime>1</TotalTime>
  <ScaleCrop>false</ScaleCrop>
  <LinksUpToDate>false</LinksUpToDate>
  <CharactersWithSpaces>18695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2019-03-21T07:24:00Z</dcterms:created>
  <dc:creator>Windows 用户</dc:creator>
  <cp:lastModifiedBy>Cuiwh</cp:lastModifiedBy>
  <dcterms:modified xsi:type="dcterms:W3CDTF">2019-03-22T06:48:58Z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