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附件1</w:t>
      </w:r>
    </w:p>
    <w:p>
      <w:pPr>
        <w:spacing w:before="156" w:beforeLines="50" w:after="156" w:afterLines="50"/>
        <w:jc w:val="center"/>
        <w:rPr>
          <w:rFonts w:ascii="黑体" w:hAnsi="黑体" w:eastAsia="黑体" w:cs="黑体"/>
          <w:sz w:val="32"/>
          <w:szCs w:val="32"/>
        </w:rPr>
      </w:pPr>
      <w:r>
        <w:rPr>
          <w:rFonts w:hint="eastAsia" w:ascii="黑体" w:hAnsi="黑体" w:eastAsia="黑体" w:cs="黑体"/>
          <w:sz w:val="36"/>
          <w:szCs w:val="36"/>
        </w:rPr>
        <w:t>46项行业标准外文版计划申请汇总表</w:t>
      </w:r>
    </w:p>
    <w:tbl>
      <w:tblPr>
        <w:tblStyle w:val="11"/>
        <w:tblW w:w="14558" w:type="dxa"/>
        <w:jc w:val="center"/>
        <w:tblInd w:w="0" w:type="dxa"/>
        <w:tblLayout w:type="fixed"/>
        <w:tblCellMar>
          <w:top w:w="15" w:type="dxa"/>
          <w:left w:w="15" w:type="dxa"/>
          <w:bottom w:w="15" w:type="dxa"/>
          <w:right w:w="15" w:type="dxa"/>
        </w:tblCellMar>
      </w:tblPr>
      <w:tblGrid>
        <w:gridCol w:w="447"/>
        <w:gridCol w:w="1194"/>
        <w:gridCol w:w="1504"/>
        <w:gridCol w:w="652"/>
        <w:gridCol w:w="677"/>
        <w:gridCol w:w="870"/>
        <w:gridCol w:w="1511"/>
        <w:gridCol w:w="1420"/>
        <w:gridCol w:w="6283"/>
      </w:tblGrid>
      <w:tr>
        <w:tblPrEx>
          <w:tblLayout w:type="fixed"/>
          <w:tblCellMar>
            <w:top w:w="15" w:type="dxa"/>
            <w:left w:w="15" w:type="dxa"/>
            <w:bottom w:w="15" w:type="dxa"/>
            <w:right w:w="15" w:type="dxa"/>
          </w:tblCellMar>
        </w:tblPrEx>
        <w:trPr>
          <w:trHeight w:val="720" w:hRule="atLeast"/>
          <w:tblHeader/>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序号</w:t>
            </w: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标准名称</w:t>
            </w:r>
          </w:p>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（中文）</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标准名称</w:t>
            </w:r>
          </w:p>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（外文）</w:t>
            </w:r>
          </w:p>
        </w:tc>
        <w:tc>
          <w:tcPr>
            <w:tcW w:w="6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拟翻译语种</w:t>
            </w:r>
          </w:p>
        </w:tc>
        <w:tc>
          <w:tcPr>
            <w:tcW w:w="6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类型</w:t>
            </w:r>
          </w:p>
        </w:tc>
        <w:tc>
          <w:tcPr>
            <w:tcW w:w="8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标准号/</w:t>
            </w:r>
          </w:p>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计划号</w:t>
            </w:r>
          </w:p>
        </w:tc>
        <w:tc>
          <w:tcPr>
            <w:tcW w:w="15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技术委员会或</w:t>
            </w:r>
          </w:p>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技术归口单位</w:t>
            </w:r>
          </w:p>
        </w:tc>
        <w:tc>
          <w:tcPr>
            <w:tcW w:w="14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项目承担单位</w:t>
            </w:r>
          </w:p>
        </w:tc>
        <w:tc>
          <w:tcPr>
            <w:tcW w:w="6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标准情况简要说明</w:t>
            </w:r>
          </w:p>
        </w:tc>
      </w:tr>
      <w:tr>
        <w:tblPrEx>
          <w:tblLayout w:type="fixed"/>
          <w:tblCellMar>
            <w:top w:w="15" w:type="dxa"/>
            <w:left w:w="15" w:type="dxa"/>
            <w:bottom w:w="15" w:type="dxa"/>
            <w:right w:w="15"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sz w:val="18"/>
                <w:szCs w:val="18"/>
                <w:highlight w:val="none"/>
              </w:rPr>
            </w:pPr>
            <w:r>
              <w:rPr>
                <w:rFonts w:hint="eastAsia" w:ascii="宋体" w:hAnsi="宋体" w:eastAsia="宋体" w:cs="宋体"/>
                <w:b/>
                <w:bCs/>
                <w:color w:val="auto"/>
                <w:sz w:val="18"/>
                <w:szCs w:val="18"/>
                <w:highlight w:val="none"/>
              </w:rPr>
              <w:t>化工行业</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jc w:val="left"/>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电镀含铜废水处理及回收技术规范</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Technical specification for electroplating copper-containing wastewater treatment and recycling</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HG/T 5309-2018</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全国化学标准化技术委员会水处理剂分技术委员会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南京大学宜兴环保研究院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电镀废水中铜离子回收技术主要包括电解法、离子交换法、膜法等，本标准在深入研究电镀废水处理工艺并利用多种工艺相结合来处理含铜电镀废水的基础上提出。本标准不仅为广大电镀含铜废水生产企业有效处理含铜废水的技术和管理奠定了基础，搭建科研、生产、使用三者之间的桥梁，也为实现废水达标排放、金属回收和水的重复利用创造前提条件。对于满足社会需求，建立共同遵循的准则具有重要的现实意义。</w:t>
            </w:r>
          </w:p>
          <w:p>
            <w:pPr>
              <w:ind w:firstLine="360" w:firstLineChars="200"/>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通过翻译工作将本标准译成其他语言，有助于国外相关机构了解中国在电镀含铜废水处理及回收领域的发展进程和技术成果，有助于将更多经验积累转化成社会需要的管理规范，促进科技交流和相关贸易发展，形成多层次、多元化的科技体系。同时，为国际环境治理提供中国方案，引导“一带一路”沿线国家环保技术发展，促进其制造业技术进步，从而带动“一带一路”沿线国家的经济发展，提高国际影响力。标准的实施将有效推动电镀含铜废水的提标减排、实现铜资源回收和水资源循环利用，推动国际环保产业的发展，保护生态环境的同时缓解水资源短缺的问题，具有广泛的经济效益、环境效益和社会效益</w:t>
            </w:r>
            <w:r>
              <w:rPr>
                <w:rFonts w:hint="eastAsia" w:ascii="宋体" w:hAnsi="宋体" w:eastAsia="宋体" w:cs="宋体"/>
                <w:color w:val="auto"/>
                <w:sz w:val="18"/>
                <w:szCs w:val="18"/>
                <w:highlight w:val="none"/>
                <w:lang w:eastAsia="zh-CN"/>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sz w:val="18"/>
                <w:szCs w:val="18"/>
                <w:highlight w:val="none"/>
              </w:rPr>
            </w:pPr>
            <w:r>
              <w:rPr>
                <w:rFonts w:hint="eastAsia" w:ascii="宋体" w:hAnsi="宋体" w:eastAsia="宋体" w:cs="宋体"/>
                <w:b/>
                <w:bCs/>
                <w:color w:val="auto"/>
                <w:sz w:val="18"/>
                <w:szCs w:val="18"/>
                <w:highlight w:val="none"/>
              </w:rPr>
              <w:t>石化行业</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石油化工生产建筑设计规范</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Design specification for production building in petrochemical industry</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SH/T 3017-2013</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中国石油化工集团公司工程部</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中石化宁波工程有限公司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本标准为中国以及“一带一路”框架下的沿线国家的石油化工生产建筑的设计提供技术支持和依据，尤其是生产建筑物和辅助生产建筑物（包括控制室及现场机柜间、压缩机厂房、变配电室、泵房、聚合物造粒厂房、聚合物后处理厂房、合成纤维厂房、硫磺仓库、消防站、中心化验室及环保监测站）的设计、建筑构造（包括屋面、墙体、楼地面、门窗、室内装修、栏杆扶手、严寒地区建筑构造）具有重要的指导和借鉴意义。</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随着石油化工行业走出去战略的实施，随着我国“一带一路”部署进一步推广，中国石化对外投资项目需求日益增大，海外市场份额占比增长很快，为满足中国石化承接海外项目需求，扩大该规范的使用范围，在涉外项目中都尽可能涵盖企业所能涉及到的所有范围，以保证工程项目标准体系的统一。为提升我国的标准地位而且还可以加强与国外相关专业的技术交流，在项目执行过程中不断充实自己，同时也可将我国石油化工行业标准规范向“一带一路”沿线国家及其他国家推广并得到有效应用。依据中石化对外投资和承接项目需求，据此考虑国内外对本规范的需求紧迫性，同时为中国以及“一带一路”框架下的沿线国家石油化工生产建筑的建筑设计提供技术支持和依据，应扩大该规范的使用范围，所以此标准的英文翻译是非常必要的，特申请外文版立项。</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石油化工仪表管道线路设计规范</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Design specification for instrument tubing and wiring in petrochemical industry</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SH/T 3019-2016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中国石油化工集团公司工程部</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中石化宁波工程有限公司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本规范内容主要包括：测量管道的选用、气动信号管道的选用、测量管道及气动信号管道的敷设、电线电缆的选用、电线电缆的敷设、仪表盘（箱、柜）内的管道及线路规定等。本规范适用于新建、扩建和改建石油化工工程仪表测量管道、仪表信号传输线路的工程设计。</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随着石油化工行业走出去战略的实施</w:t>
            </w:r>
            <w:r>
              <w:rPr>
                <w:rFonts w:hint="eastAsia" w:ascii="宋体" w:hAnsi="宋体" w:eastAsia="宋体" w:cs="宋体"/>
                <w:color w:val="auto"/>
                <w:sz w:val="18"/>
                <w:szCs w:val="18"/>
                <w:highlight w:val="none"/>
                <w:lang w:val="en-US" w:eastAsia="zh-CN"/>
              </w:rPr>
              <w:t>,以及</w:t>
            </w:r>
            <w:r>
              <w:rPr>
                <w:rFonts w:hint="eastAsia" w:ascii="宋体" w:hAnsi="宋体" w:eastAsia="宋体" w:cs="宋体"/>
                <w:color w:val="auto"/>
                <w:sz w:val="18"/>
                <w:szCs w:val="18"/>
                <w:highlight w:val="none"/>
              </w:rPr>
              <w:t>我国“一带一路”部署进一步推广，中国石化对外投资项目需求日益增大，海外市场份额占比增长很快，为满足中国石化承接海外项目需求，扩大该规范的使用范围，在涉外项目中都尽可能涵盖企业所能涉及到的所有范围，以保证工程项目标准体系的统一。在承接海外项目时，该规范的英文版不但使用方便，确保在石油化工生产装置控制室、机柜间、装置间连结信号媒介的敷设方式、进线方式</w:t>
            </w:r>
            <w:r>
              <w:rPr>
                <w:rFonts w:hint="eastAsia" w:ascii="宋体" w:hAnsi="宋体" w:eastAsia="宋体" w:cs="宋体"/>
                <w:color w:val="auto"/>
                <w:sz w:val="18"/>
                <w:szCs w:val="18"/>
                <w:highlight w:val="none"/>
                <w:lang w:eastAsia="zh-CN"/>
              </w:rPr>
              <w:t>的</w:t>
            </w:r>
            <w:r>
              <w:rPr>
                <w:rFonts w:hint="eastAsia" w:ascii="宋体" w:hAnsi="宋体" w:eastAsia="宋体" w:cs="宋体"/>
                <w:color w:val="auto"/>
                <w:sz w:val="18"/>
                <w:szCs w:val="18"/>
                <w:highlight w:val="none"/>
              </w:rPr>
              <w:t>规范，做到使用安全、经济合理、技术先进、维护管理方便</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确保工程质量，而且还可以加强与国外相关专业的技术交流，在项目执行过程中不断充实自己，同时也可将我国石油化工行业标准规范向“一带一路”沿线国家及其他国家推广并得到有效应用</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有利于与一带一路国家在标准化工作中的交流和合作，</w:t>
            </w:r>
            <w:r>
              <w:rPr>
                <w:rFonts w:hint="eastAsia" w:ascii="宋体" w:hAnsi="宋体" w:eastAsia="宋体" w:cs="宋体"/>
                <w:color w:val="auto"/>
                <w:sz w:val="18"/>
                <w:szCs w:val="18"/>
                <w:highlight w:val="none"/>
                <w:lang w:eastAsia="zh-CN"/>
              </w:rPr>
              <w:t>对</w:t>
            </w:r>
            <w:r>
              <w:rPr>
                <w:rFonts w:hint="eastAsia" w:ascii="宋体" w:hAnsi="宋体" w:eastAsia="宋体" w:cs="宋体"/>
                <w:color w:val="auto"/>
                <w:sz w:val="18"/>
                <w:szCs w:val="18"/>
                <w:highlight w:val="none"/>
              </w:rPr>
              <w:t>树立自主品牌国际形象具有重要意义</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石油化工仪表供气设计规范</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Design specification for instrument air supply system in petrochemical industry</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SH/T 3020-2013</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中国石油化工集团公司工程部</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中石化宁波工程有限公司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本规范内容主要包括：测量管道的选用、气动信号管道的选用、测量管道及气动信号管道的敷设、电线电缆的选用、电线电缆的敷设、仪表盘（箱、柜）内的管道及线路规定等。本规范适用于新建、扩建和改建石油化工工程仪表测量管道、仪表信号传输线路的工程设计。</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随着石油化工行业走出去战略的实施，随着我国“一带一路”部署进一步推广，中国石化对外投资项目需求日益增大，海外市场份额占比增长很快，为满足中国石化承接海外项目需求，扩大该规范的使用范围，在涉外项目中都尽可能涵盖企业所能涉及到的所有范围，以保证工程项目标准体系的统一。在承接海外项目时，该规范的英文版不但使用方便，确保对石油化工生产装置仪表气源供气装置（如空压站等）、供气系统、供气管路等进行统一，做到使用安全、经济合理、技术先进、维护管理方便</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确保工程质量，而且还可以加强与国外相关专业的技术交流，在项目执行过程中不断充实自己，同时也可将我国石油化工行业标准规范向“一带一路”沿线国家及其他国家推广并得到有效应用</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有利于与一带一路国家在标准化工作中的交流和合作，</w:t>
            </w:r>
            <w:r>
              <w:rPr>
                <w:rFonts w:hint="eastAsia" w:ascii="宋体" w:hAnsi="宋体" w:eastAsia="宋体" w:cs="宋体"/>
                <w:color w:val="auto"/>
                <w:sz w:val="18"/>
                <w:szCs w:val="18"/>
                <w:highlight w:val="none"/>
                <w:lang w:eastAsia="zh-CN"/>
              </w:rPr>
              <w:t>对</w:t>
            </w:r>
            <w:r>
              <w:rPr>
                <w:rFonts w:hint="eastAsia" w:ascii="宋体" w:hAnsi="宋体" w:eastAsia="宋体" w:cs="宋体"/>
                <w:color w:val="auto"/>
                <w:sz w:val="18"/>
                <w:szCs w:val="18"/>
                <w:highlight w:val="none"/>
              </w:rPr>
              <w:t>树立自主品牌国际形象具有重要意义</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石油化工环境保护设计规范</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Design specification for environmental protection in petrochemical industry</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SH/T 3024-2017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中国石油化工集团公司工程部</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中国石化工程建设有限公司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kern w:val="10"/>
                <w:sz w:val="18"/>
                <w:szCs w:val="18"/>
              </w:rPr>
            </w:pPr>
            <w:r>
              <w:rPr>
                <w:rFonts w:hint="eastAsia" w:ascii="宋体" w:hAnsi="宋体" w:eastAsia="宋体" w:cs="宋体"/>
                <w:color w:val="auto"/>
                <w:kern w:val="10"/>
                <w:sz w:val="18"/>
                <w:szCs w:val="18"/>
                <w:lang w:eastAsia="zh-CN"/>
              </w:rPr>
              <w:t>本</w:t>
            </w:r>
            <w:r>
              <w:rPr>
                <w:rFonts w:hint="eastAsia" w:ascii="宋体" w:hAnsi="宋体" w:eastAsia="宋体" w:cs="宋体"/>
                <w:color w:val="auto"/>
                <w:kern w:val="10"/>
                <w:sz w:val="18"/>
                <w:szCs w:val="18"/>
              </w:rPr>
              <w:t>标准内容主要</w:t>
            </w:r>
            <w:r>
              <w:rPr>
                <w:rFonts w:hint="eastAsia" w:ascii="宋体" w:hAnsi="宋体" w:eastAsia="宋体" w:cs="宋体"/>
                <w:color w:val="auto"/>
                <w:kern w:val="10"/>
                <w:sz w:val="18"/>
                <w:szCs w:val="18"/>
                <w:lang w:eastAsia="zh-CN"/>
              </w:rPr>
              <w:t>包括</w:t>
            </w:r>
            <w:r>
              <w:rPr>
                <w:rFonts w:hint="eastAsia" w:ascii="宋体" w:hAnsi="宋体" w:eastAsia="宋体" w:cs="宋体"/>
                <w:color w:val="auto"/>
                <w:kern w:val="10"/>
                <w:sz w:val="18"/>
                <w:szCs w:val="18"/>
              </w:rPr>
              <w:t>：厂址选择与总图布置；废水污染控制及治理；废气污染控制与治理；固体废物污染防治；噪声控制；土壤、地下水污染预防控制; 环保管理；环境监控与监测；环境保护投资等。该标准包括了这些年来环保的新要求，并参考国内外环保的先进要求，具有适当前瞻性。</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依据国家对外投资项目需求和承接海外项目需求，结合“一带一路”的倡议，为扩大该标准的使用范围，通过该标准中先进的环保理念和较高的技术要求的执行，在石化行业助力打造新的国家名片，充分展现国家在环境保护方面的软实力，并且可以加强与相关国家在石化环境保护方面的交流，特申请外文版立项。</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石油化工装置电力设计规范</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Technical Specification for Electric Design in Petrochemical Industry</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SH/T 3038-2017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中国石油化工集团公司工程部</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中石化宁波工程有限公司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shd w:val="clear" w:color="auto" w:fill="auto"/>
              </w:rPr>
              <w:t>本标准内容主要包括：：石油化工装置电力设计中的供配电系统、爆炸危险环境、变配电所、自动装置和微机综合自动化系统、电缆选择及敷设、配电、接地和电气节能等技术规定和遵循的主要原则</w:t>
            </w:r>
            <w:r>
              <w:rPr>
                <w:rFonts w:hint="eastAsia" w:ascii="宋体" w:hAnsi="宋体" w:eastAsia="宋体" w:cs="宋体"/>
                <w:color w:val="auto"/>
                <w:sz w:val="18"/>
                <w:szCs w:val="18"/>
                <w:highlight w:val="none"/>
              </w:rPr>
              <w:t>。</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随着石油化工行业走出去战略的实施，随着我国“一带一路”部署进一步推广，中国石化对外投资项目需求日益增大，海外市场份额占比增长很快，为满足中国石化承接海外项目需求，扩大该规范的使用范围，在涉外项目中都尽可能涵盖企业所能涉及到的所有范围，以保证工程项目标准体系的统一。在承接海外项目时，该规范的英文版不但使用方便，确保在石油化工生产装置电力的设计中满足石油化工生产装置功能，做到使用安全、经济合理、技术先进、维护管理方便、确保工程质量，而且还可以加强与国外相关专业的技术交流，在项目执行过程中不断充实自己，同时也可将我国石油化工行业标准规范向“一带一路”沿线国家及其他国家推广并得到有效应用</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有利于与一带一路国家在标准化工作中的交流和合作，</w:t>
            </w:r>
            <w:r>
              <w:rPr>
                <w:rFonts w:hint="eastAsia" w:ascii="宋体" w:hAnsi="宋体" w:eastAsia="宋体" w:cs="宋体"/>
                <w:color w:val="auto"/>
                <w:sz w:val="18"/>
                <w:szCs w:val="18"/>
                <w:highlight w:val="none"/>
                <w:lang w:eastAsia="zh-CN"/>
              </w:rPr>
              <w:t>对</w:t>
            </w:r>
            <w:r>
              <w:rPr>
                <w:rFonts w:hint="eastAsia" w:ascii="宋体" w:hAnsi="宋体" w:eastAsia="宋体" w:cs="宋体"/>
                <w:color w:val="auto"/>
                <w:sz w:val="18"/>
                <w:szCs w:val="18"/>
                <w:highlight w:val="none"/>
              </w:rPr>
              <w:t>树立自主品牌国际形象具有重要意义</w:t>
            </w:r>
            <w:r>
              <w:rPr>
                <w:rFonts w:hint="eastAsia" w:ascii="宋体" w:hAnsi="宋体" w:eastAsia="宋体" w:cs="宋体"/>
                <w:color w:val="auto"/>
                <w:sz w:val="18"/>
                <w:szCs w:val="18"/>
                <w:highlight w:val="none"/>
                <w:lang w:eastAsia="zh-CN"/>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石油化工装置照明设计规范</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Standard for lighting design of petrochemical plants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00" w:beforeAutospacing="1" w:after="100" w:afterAutospacing="1"/>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SH/T 3192-2017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00" w:beforeAutospacing="1" w:after="100" w:afterAutospacing="1"/>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中国石油化工集团公司工程部</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00" w:beforeAutospacing="1" w:after="100" w:afterAutospacing="1"/>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中国石化工程建设有限公司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00" w:beforeAutospacing="1" w:after="100" w:afterAutospacing="1"/>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合“一带一路”的倡议和国家对外投资项目需求，海外市场份额占比增长很快，为满足中国石化承接海外项目需求，需要扩大本规范的使用范围，以涵盖中国石化的所有涉外项目，从而保证工程项目标准体系的统一。在承接海外项目时，本规范的英文版不但使用方便，确保在石油化工生产装置的照明设计中满足石油化工生产装置功能，有利于视觉作业、视觉舒适和提高工作效率，做到使用安全、经济合理、技术先进、维护管理方便，实施绿色照明，保证工程质量，而且能够提升我国的标准地位，加强与国外相关专业的技术交流，在项目执行过程中不断充实自己，同时也可将我国石油化工行业标准规范向“一带一路”沿线国家及其他国家推广并得到有效应用</w:t>
            </w:r>
            <w:r>
              <w:rPr>
                <w:rFonts w:hint="eastAsia" w:ascii="宋体" w:hAnsi="宋体" w:eastAsia="宋体" w:cs="宋体"/>
                <w:color w:val="auto"/>
                <w:sz w:val="18"/>
                <w:szCs w:val="18"/>
                <w:highlight w:val="none"/>
                <w:lang w:eastAsia="zh-CN"/>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石油化工腐蚀环境电力设计规范</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Design specification of electrical for corrosive environment in petrochemical industry</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SH/T 3200-2018</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中国石油化工集团公司工程部</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中石化南京工程有限公司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合“一带一路”的倡议和国家对外投资项目需求，对外承包工程越来越多。《石油化工腐蚀环境电力设计规范》英文版可在涉外项目中对腐蚀环境有针对性的强化措施，以保证工程项目能源供给。国内许多石油化工装置产能已在世界领先，但在承接海外项目时，由于没有自己的英文标准往往被业主拒之门外，或者不得不采用更高的、不熟悉的替代标准。该规范的英文版不但可有效提升我国的标准地位、确保工程质量，而且还可以加强与国外相关专业的技术交流，在项目执行过程中不断充实自己，同时也可将我国石油化工行业标准规范向“一带一路”沿线国家及其他国家推广并得到有效应用</w:t>
            </w:r>
            <w:r>
              <w:rPr>
                <w:rFonts w:hint="eastAsia" w:ascii="宋体" w:hAnsi="宋体" w:eastAsia="宋体" w:cs="宋体"/>
                <w:color w:val="auto"/>
                <w:sz w:val="18"/>
                <w:szCs w:val="18"/>
                <w:highlight w:val="none"/>
                <w:lang w:eastAsia="zh-CN"/>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sz w:val="18"/>
                <w:szCs w:val="18"/>
                <w:highlight w:val="none"/>
              </w:rPr>
            </w:pPr>
            <w:r>
              <w:rPr>
                <w:rFonts w:hint="eastAsia" w:ascii="宋体" w:hAnsi="宋体" w:eastAsia="宋体" w:cs="宋体"/>
                <w:b/>
                <w:bCs/>
                <w:color w:val="auto"/>
                <w:sz w:val="18"/>
                <w:szCs w:val="18"/>
                <w:highlight w:val="none"/>
              </w:rPr>
              <w:t>冶金行业</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桥梁缆索钢丝用热轧盘条</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Hot-rol</w:t>
            </w:r>
            <w:bookmarkStart w:id="0" w:name="_GoBack"/>
            <w:bookmarkEnd w:id="0"/>
            <w:r>
              <w:rPr>
                <w:rFonts w:hint="eastAsia" w:ascii="宋体" w:hAnsi="宋体" w:eastAsia="宋体" w:cs="宋体"/>
                <w:color w:val="auto"/>
                <w:sz w:val="18"/>
                <w:szCs w:val="18"/>
                <w:highlight w:val="none"/>
              </w:rPr>
              <w:t>led wire rod for bridge cable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2017-1338T-YB</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全国钢标准化技术委员会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江阴兴澄特种钢铁有限公司、冶金工业信息标准研究院等</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桥梁建设是我国基础设施建设的重要组成部分，2000年以前，高强度桥梁缆索用镀锌钢丝用热轧盘条均需要进口，尤其是日本对高强度级别产品的垄断，成为我国桥梁缆索行业发展的技术瓶颈。YB/T4264-2011《桥梁缆索钢丝用热轧盘条》行业标准作为国家科技部支持项目《高强度大桥缆索钢丝用盘条国产化攻关》研究成果产业化的应用，在标准实施前，国内高强度（抗拉强度1770Mpa）桥梁缆索钢丝专用盘条的生产已经开始应用，处于产业化生产阶段，1860 Mpa～2000 Mpa桥梁缆索钢丝专用盘条国际上还处于研发阶段，通过YB/T4264-2011《桥梁缆索钢丝用热轧盘条》行业标准的实施，推进了高强度盘条生产的新工艺新技术的应用，引领了高强度盘条生产的技术进步。</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高强度缆索钢丝用热轧盘条以前主要从日本进口，其中以日本新日铁生产的DLP（盐浴淬火）盘条索氏体化率高、组织均匀、性能最佳，日本已经研究试制了2000Mpa及以上强度镀锌钢丝用盘条。国外生产桥梁缆索镀锌钢丝用盘条，主要国家为日本、德国等。目前，国内目前江阴兴澄特种钢铁有限公司、宝钢、青钢等企业成功研制出1860MPa级和1960Mp大桥缆索用钢，已经实现了国产化，并且大批量应用于大型桥梁工程；已成功研发并大批量生产抗拉强度为2000Mpa级桥梁缆索钢丝用热轧盘条，并且进入批量试制阶段。为了进一步将最新科研成果向产业化转化，推动关键基础材料的发展及新工艺新技术的应用，把我国的产品和技术推向国外、被世界范围所接受，并为后续的技术进步和标准化提供支撑，继而引领世界桥梁缆索用钢的发展方向。有必要将《桥梁缆索钢丝用热轧盘条》行业标准翻译成英文版。通过标准的英文版的制订，进一步规范桥梁缆索钢丝用热轧盘条的各项指标要求，为我国桥梁、建设“走出去”起到积极的促进作用，具有十分重要的技术意义和经济效益</w:t>
            </w:r>
            <w:r>
              <w:rPr>
                <w:rFonts w:hint="eastAsia" w:ascii="宋体" w:hAnsi="宋体" w:eastAsia="宋体" w:cs="宋体"/>
                <w:color w:val="auto"/>
                <w:sz w:val="18"/>
                <w:szCs w:val="18"/>
                <w:highlight w:val="none"/>
                <w:lang w:eastAsia="zh-CN"/>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highlight w:val="none"/>
              </w:rPr>
            </w:pPr>
            <w:r>
              <w:rPr>
                <w:rStyle w:val="21"/>
                <w:rFonts w:hint="eastAsia" w:ascii="宋体" w:hAnsi="宋体" w:eastAsia="宋体" w:cs="宋体"/>
                <w:color w:val="auto"/>
                <w:sz w:val="18"/>
                <w:szCs w:val="18"/>
                <w:highlight w:val="none"/>
                <w:lang w:bidi="ar"/>
              </w:rPr>
              <w:t>建筑工程用锌</w:t>
            </w:r>
            <w:r>
              <w:rPr>
                <w:rStyle w:val="22"/>
                <w:rFonts w:hint="eastAsia" w:ascii="宋体" w:hAnsi="宋体" w:eastAsia="宋体" w:cs="宋体"/>
                <w:color w:val="auto"/>
                <w:sz w:val="18"/>
                <w:szCs w:val="18"/>
                <w:highlight w:val="none"/>
                <w:lang w:bidi="ar"/>
              </w:rPr>
              <w:t>-5%</w:t>
            </w:r>
            <w:r>
              <w:rPr>
                <w:rStyle w:val="21"/>
                <w:rFonts w:hint="eastAsia" w:ascii="宋体" w:hAnsi="宋体" w:eastAsia="宋体" w:cs="宋体"/>
                <w:color w:val="auto"/>
                <w:sz w:val="18"/>
                <w:szCs w:val="18"/>
                <w:highlight w:val="none"/>
                <w:lang w:bidi="ar"/>
              </w:rPr>
              <w:t>铝</w:t>
            </w:r>
            <w:r>
              <w:rPr>
                <w:rStyle w:val="22"/>
                <w:rFonts w:hint="eastAsia" w:ascii="宋体" w:hAnsi="宋体" w:eastAsia="宋体" w:cs="宋体"/>
                <w:color w:val="auto"/>
                <w:sz w:val="18"/>
                <w:szCs w:val="18"/>
                <w:highlight w:val="none"/>
                <w:lang w:bidi="ar"/>
              </w:rPr>
              <w:t>-</w:t>
            </w:r>
            <w:r>
              <w:rPr>
                <w:rStyle w:val="21"/>
                <w:rFonts w:hint="eastAsia" w:ascii="宋体" w:hAnsi="宋体" w:eastAsia="宋体" w:cs="宋体"/>
                <w:color w:val="auto"/>
                <w:sz w:val="18"/>
                <w:szCs w:val="18"/>
                <w:highlight w:val="none"/>
                <w:lang w:bidi="ar"/>
              </w:rPr>
              <w:t>混合稀土合金镀层拉索</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Zinc-5% aluminum-mixed mischmetal alloy-coated cable of building engineering</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YB/T 4543-2016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全国钢标准化技术委员会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广东坚宜佳五金制品有限公司、冶金工业信息标准研究院等</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多年来，随着中国改革开发成果的不断彰显，促使了国内建筑行业的飞速发展，尤其是索结构的大量使用，已成为建筑结构的重要组成部分，因锌-5%铝-混合稀土合金镀层拉索防腐性能是热镀锌拉索的2倍～3倍，其防腐性能优异，被各种建筑索结构体系广泛采用。YB-T 4543-2016《建筑工程用锌-5%铝-混合稀土合金镀层拉索》的实施，满足市场对产品功能和质量等各方面规范化需求，弥补建筑工程用锌-5%铝-混合稀土合金镀层拉索及配件的设计、制作、安装和检验等方面的不足，保证锌-5%铝-混合稀土合金镀层拉索产品使用的安全性、性能的稳定性和建筑索结构的可靠性，国内的许多项目已采用此标准，例如郑州奥体、石家庄国际会展中心、上海迪士尼人行天桥、港珠澳大桥边检大楼等项目。锌-5%铝-混合稀土合金镀层拉索在上世纪80年代由国际铅锌组织发明，命名“GALFAN”，1983年以后锌-5%铝-混合稀土合金镀层钢丝、绞线开始商品化生产，在欧美发达国家及日本该技术已应用非常成熟。但对比欧洲对锌-5%铝-混合稀土合金镀层拉索的标准要求，外国要求低于国内要求，这也反应了通过多年的研制，我国在该产品领域得到了较大的提高，优于世界水平。</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随着企业国际化发展进程的而推进及国家一带一路的政策，该产品在海外项目也得到一定的应用。为了进一步将最新科研成果向产业化转化，推动关键基础材料的发展及新工艺新技术的应用，把我国的产品和技术推向国外、被世界范围所接受，并为后续的技术进步和标准化提供支撑。有必要将《建筑工程用锌-5%铝-混合稀土合金镀层拉索》行业标准翻译成英文版。通过标准的英文版的制订，进一步规范建筑工程用锌-5%铝-混合稀土合金镀层拉索的各项指标要求，为我国建筑工程用锌-5%铝-混合稀土合金镀层拉索“走出去”起到积极的促进作用，具有十分重要的技术意义和经济效益</w:t>
            </w:r>
            <w:r>
              <w:rPr>
                <w:rFonts w:hint="eastAsia" w:ascii="宋体" w:hAnsi="宋体" w:eastAsia="宋体" w:cs="宋体"/>
                <w:color w:val="auto"/>
                <w:sz w:val="18"/>
                <w:szCs w:val="18"/>
                <w:highlight w:val="none"/>
                <w:lang w:eastAsia="zh-CN"/>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铁塔用热轧角钢</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Hot-rolled steel angles for tower structure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YB/T 4163-2017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bidi="ar"/>
              </w:rPr>
              <w:t>全国钢标准化技术委员会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河北钢铁集团公司唐山分公司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输电线路铁塔简称电力铁塔，按其形状一般分为：酒杯型、猫头型、上字型、干字型和桶型五种，按用途分有：耐张塔、直线塔、转角塔、换位塔。输电线路铁塔是国家电力工业的发展的重要设备。国家电网按照“统一规划、分步实施、试点先行、整体推进”的原则建设实施。自2011-2015年，电网建设进入规划的全面建设阶段。到2015年，形成坚强智能电网运行控制和双向互动服务体系</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建成华北、华东、华中（“三华”）特高压同步电网，形成“三纵三横一环网”格局，同时建成11特高压直流输电工程；到2020年建成以“三华”特高压同步电网为中心，东北特高压电网、西北750KV电网为送端，联络各大煤电基地、大水电基地、大核电基地、大可再生能源基地，各级电网协调发展的坚强智能电网。2011-2020年，电网智能化方面计划投入3500亿元，到2020年我国特高压建设的投入6000亿元。预计2015年后，电力铁塔年需求量500万吨（2010-2015年全国电力铁塔需求年均复合增长率达6.7%）。据统计，铁塔市场需求量2225万吨/年，其中国内输电塔315万吨，国内通讯塔60万吨；国际输电塔1500万吨，国际通讯塔350万吨。按照角钢塔与杆塔6:4，角钢塔材料75-80%核算后，国际市场输电塔650-670万吨/年，通讯塔150万吨/年，即800-820万吨/年。</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2013年9月和10月由中国国家主席习近平分别提出建设“新丝绸之路经济带”和“21世纪海上丝绸之路”的合作倡议。2015年3月28日，国家发展改革委、外交部、商务部联合发布了《推动共建丝绸之路经济带和21世纪海上丝绸之路的愿景与行动》。2018年政府工作报告中再次强调，推进“一带一路”国际合作，带动中国制造和中国服务走出去。目前，“一带一路”沿线国家普遍存在基础设施落后的现状，与这些国家在基础设施建设等领域存在巨大的合作空间，也在释放大量钢铁需求。因此翻译铁塔用角钢标准将对促进我国钢材出口以及一带一路建设具有重要作用</w:t>
            </w:r>
            <w:r>
              <w:rPr>
                <w:rFonts w:hint="eastAsia" w:ascii="宋体" w:hAnsi="宋体" w:eastAsia="宋体" w:cs="宋体"/>
                <w:color w:val="auto"/>
                <w:sz w:val="18"/>
                <w:szCs w:val="18"/>
                <w:highlight w:val="none"/>
                <w:lang w:eastAsia="zh-CN"/>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sz w:val="18"/>
                <w:szCs w:val="18"/>
                <w:highlight w:val="none"/>
              </w:rPr>
            </w:pPr>
            <w:r>
              <w:rPr>
                <w:rFonts w:hint="eastAsia" w:ascii="宋体" w:hAnsi="宋体" w:eastAsia="宋体" w:cs="宋体"/>
                <w:b/>
                <w:bCs/>
                <w:color w:val="auto"/>
                <w:sz w:val="18"/>
                <w:szCs w:val="18"/>
                <w:highlight w:val="none"/>
              </w:rPr>
              <w:t>黄金行业</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粗金</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Crude gold</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YS/T 3026-2017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全国黄金标准化</w:t>
            </w:r>
          </w:p>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长春黄金研究院有限公司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粗金是黄金矿山和黄金冶炼企业的中间产品，也是精炼金的原料。粗金标准为黄金行业重点领域标准。粗金和金矿石、金精矿、金锭、高纯金等产品标准均为黄金行业内重要的产品标准。粗金产品的技术要求、试验方法和检验规则对于粗金的促进生产、规范购销行为有重要的意义。我国黄金市场的开放，改变了建国以来国家实行的金的统购统销的政策。黄金企业生产的粗金由全部交售到人民银行，到现成为上海黄金交易所可提供标准金锭精炼厂竞相购买的精炼金原料。随着世界对黄金产量需求的增加，我国的黄金的生产规模在不断地扩大，黄金生产技术也在快速发展，粗金的供需交易量每年大幅增长。由此产生的交易争议增长了供需双方的矛盾。《粗金》标准的制定对粗金产品进行了规范， 促了进黄金的冶炼生产工艺的不断改进，粗金产品质量的不断提升，规范了购销行为。《粗金》外文版标准的制定，是粗金产品进出口贸易的需要，能推动标准“走出去”、促进粗金贸易，同时为中国以及“一带一路”框架下的沿线国家黄金冶炼企业粗金产品生产中的质量控制、金属平衡、财务核算、贸易计价等提供技术支持和依据，通过查阅国外各类标准和公开发表的期刊文献，目前尚无其他《粗金》的有关报道。所以，此标准的英文翻译是非常必要的</w:t>
            </w:r>
            <w:r>
              <w:rPr>
                <w:rFonts w:hint="eastAsia" w:ascii="宋体" w:hAnsi="宋体" w:eastAsia="宋体" w:cs="宋体"/>
                <w:color w:val="auto"/>
                <w:sz w:val="18"/>
                <w:szCs w:val="18"/>
                <w:highlight w:val="none"/>
                <w:lang w:eastAsia="zh-CN"/>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粗金化学分析方法  第1部分：金量的测定</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Methods for chemical analysis of crude gold—Part 1: Determination of gold content</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YS/T 3027.1-2017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全国黄金标准化</w:t>
            </w:r>
          </w:p>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长春黄金研究院有限公司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粗金是黄金冶炼企业的中间产品，是黄金精炼厂的主要原料。《粗金及其化学分析方法》的技术要求、试验方法和检验规则对于粗金的促进生产、规范购销行为有重要的意义。《粗金化学分析方法  第1部分：金量的测定》标准为黄金行业重点领域标准，外文版标准的制定，是粗金产品进出口贸易的需要，能推动标准“走出去”、促进粗金贸易，同时为中国以及“一带一路”框架下的沿线国家黄金冶炼企业粗金产品生产中的质量控制、金属平衡、财务核算、贸易计价等提供技术支持和依据。通过查阅国外各类标准和公开发表的期刊文献，目前尚无其他《粗金化学分析方法  第1部分：金量的测定》的详细报道。所以，此标准的英文翻译是非常必要的。能够给中外黄金冶炼企业粗金产品生产中的质量控制、金属平衡、财务核算、贸易计价等提供技术支持和依据。尤其是国内外粗金产品中金量的交易尤为重要，此番标准译成</w:t>
            </w:r>
            <w:r>
              <w:rPr>
                <w:rFonts w:hint="eastAsia" w:ascii="宋体" w:hAnsi="宋体" w:eastAsia="宋体" w:cs="宋体"/>
                <w:color w:val="auto"/>
                <w:sz w:val="18"/>
                <w:szCs w:val="18"/>
                <w:highlight w:val="none"/>
                <w:lang w:eastAsia="zh-CN"/>
              </w:rPr>
              <w:t>英</w:t>
            </w:r>
            <w:r>
              <w:rPr>
                <w:rFonts w:hint="eastAsia" w:ascii="宋体" w:hAnsi="宋体" w:eastAsia="宋体" w:cs="宋体"/>
                <w:color w:val="auto"/>
                <w:sz w:val="18"/>
                <w:szCs w:val="18"/>
                <w:highlight w:val="none"/>
              </w:rPr>
              <w:t>文版更有助于国内外黄金企业之间达成一致的仲裁方法，进而推动整个黄金行业在世界范围内的协同发展</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特申请外文版立项。</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粗金化学分析方法  第2部分：银量的测定</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Methods for chemical analysis of crude gold—Part 2: Determination of silver content</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YS/T 3027.2-2017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全国黄金标准化</w:t>
            </w:r>
          </w:p>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长春黄金研究院有限公司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粗金是黄金冶炼企业的中间产品，是黄金精炼厂的主要原料。《粗金及其化学分析方法》的技术要求、试验方法和检验规则对于粗金的促进生产、规范购销行为有重要的意义。《粗金化学分析方法  第2部分：银量的测定》标准为黄金行业重点领域标准，外文版标准的制定，是粗金产品进出口贸易的需要，能推动标准“走出去”、促进粗金贸易，同时为中国以及“一带一路”框架下的沿线国家黄金冶炼企业粗金产品生产中的质量控制、金属平衡、财务核算、贸易计价等提供技术支持和依据。通过查阅国外各类标准和公开发表的期刊文献，目前尚无其他《粗金化学分析方法  第2部分：银量的测定》的详细报道。所以，此标准的英文翻译是非常必要的</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能够给中外黄金冶炼企业粗金产品生产中的质量控制、金属平衡、财务核算、贸易计价等提供技术支持和依据。尤其当粗金中的银含量较高时，将此标准翻译成英文标准能够满足银作为粗金中的计价元素的分析方法，且实践证明粗金中的银含量可达50％左右，进而促进粗金副产品的可持续利用和发展</w:t>
            </w:r>
            <w:r>
              <w:rPr>
                <w:rFonts w:hint="eastAsia" w:ascii="宋体" w:hAnsi="宋体" w:eastAsia="宋体" w:cs="宋体"/>
                <w:color w:val="auto"/>
                <w:sz w:val="18"/>
                <w:szCs w:val="18"/>
                <w:highlight w:val="none"/>
                <w:lang w:eastAsia="zh-CN"/>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建材行业</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蒸压加气混凝土切割机</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Cutting Machine for Autoclaved Aerated Concrete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bCs/>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JC/T 921-2014(2017)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国家建筑材料工业机械标准化技术委员会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安徽科达机电有限公司等</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蒸压加气混凝土切割机”是蒸压加气混凝土板材生产的关键设备，本标准是针对坯体竖切的切割机。国外以伊通、威汉、玛莎（在国内均有生产线）为主，国内以科达、天元为主，国内外的主要技术参数基本相同，该技术已经相对稳定。蒸压加气混凝土产品具有轻质保温、绿色环保、抗渗防潮、防火阻燃、隔音降噪、施工便捷等特点；在生产过程中，可利用大量的工业固体废弃物，理想状态下，一条年产30万立方米蒸压加气混凝土生产线，至少可利用10万吨工业固体废弃物；蒸压加气混凝土板材是装配式建筑最理想的墙体材料之一；蒸压加气混凝土产品符合国家墙改政策，可大量节约粘土资源，保护农田。如此多的优越性决定了它在墙体材料中的重要作用，是国家首推的绿色墙体材料，在世界上也被广泛关注。</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目前国产加气设备的热点区域集中在东南亚和中东。东南亚等国经济逐步向好加上国家出台相关政策支持，促进房地产产业的发展，为新型墙材的引入提供了巨大的商机。无论是加气砌块产品应用相对普遍的印尼等国，还是人口基数较大的印度，或者南美、非洲等区域，市场前景也值得观望。由于加气行业国内没有标准的外文版，国外没有相关的加气装备标准，出口企业很难出具具有权威性技术标准，而且企业既懂外文又熟悉专业的人才也较少，靠企业本身翻译的困难很大，给企业造成了很多困扰，使得国产装备对外推广与应用增添了障碍，为了消除这种障碍，推出标准的外文版势在必行</w:t>
            </w:r>
            <w:r>
              <w:rPr>
                <w:rFonts w:hint="eastAsia" w:ascii="宋体" w:hAnsi="宋体" w:eastAsia="宋体" w:cs="宋体"/>
                <w:color w:val="auto"/>
                <w:sz w:val="18"/>
                <w:szCs w:val="18"/>
                <w:highlight w:val="none"/>
                <w:lang w:eastAsia="zh-CN"/>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蒸压加气混凝土设备 浇注搅拌机</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Pouring Mixer for Autoclaved Aerated Concrete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bCs/>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JC/T 2323-2015(2017)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国家建筑材料工业机械标准化技术委员会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安徽科达机电有限公司等</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50" w:firstLineChars="25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蒸压加气混凝土设备浇注搅拌机”是蒸压加气混凝土板材生产的关键设备，国外以伊通、威汉、玛莎（在国内均有生产线）为主，国内以科达、天元为主，国外搅拌机以浆液式为主，国内搅拌机以导流筒式为主，二种型式搅拌机主要要求基本相同，二技术都已经相对稳定。蒸压加气混凝土产品具有轻质保温、绿色环保、抗渗防潮、防火阻燃、隔音降噪、施工便捷等特点；在生产过程中，可利用大量的工业固体废弃物，理想状态下，一条年产30万立方米蒸压加气混凝土生产线，至少可利用10万吨工业固体废弃物；蒸压加气混凝土板材是装配式建筑最理想的墙体材料之一；蒸压加气混凝土产品符合国家墙改政策，可大量节约粘土资源，保护农田。如此多的优越性决定了它在墙体材料中的重要作用，是国家首推的绿色墙体材料，在世界上也被广泛关注。</w:t>
            </w:r>
          </w:p>
          <w:p>
            <w:pPr>
              <w:ind w:firstLine="450" w:firstLineChars="25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目前国产加气设备的热点区域集中在东南亚和中东。东南亚等国经济逐步向好加上国家出台相关政策支持，促进房地产产业的发展，为新型墙材的引入提供了巨大的商机。无论是加气砌块产品应用相对普遍的印尼等国，还是人口基数较大的印度，或者南美、非洲等区域，市场前景也值得观望。由于加气行业国内没有标准的外文版，国外没有相关的加气装备标准，出口企业很难出具具有权威性技术标准，而且企业既懂外文又熟悉专业的人才也较少，靠企业本身翻译的困难很大，给企业造成了很多困扰，使得国产装备对外推广与应用增添了障碍，为了消除这种障碍，推出标准的外文版势在必行</w:t>
            </w:r>
            <w:r>
              <w:rPr>
                <w:rFonts w:hint="eastAsia" w:ascii="宋体" w:hAnsi="宋体" w:eastAsia="宋体" w:cs="宋体"/>
                <w:color w:val="auto"/>
                <w:sz w:val="18"/>
                <w:szCs w:val="18"/>
                <w:highlight w:val="none"/>
                <w:lang w:eastAsia="zh-CN"/>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蒸压加气混凝土设备 分掰机</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Separator for</w:t>
            </w:r>
          </w:p>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Autoclaved Aerated Concrete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bCs/>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JC/T 2324-2015(2017)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国家建筑材料工业机械标准化技术委员会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安徽科达机电有限公司等</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50" w:firstLineChars="25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蒸压加气混凝土设备分掰机”是蒸压加气混凝土板材生产的关键设备，国外以伊通、威汉、玛莎（在国内均有生产线）为主，国内以科达、天元为主，国内外的主要技术参数基本相同，该技术已经相对稳定。国外以伊通、威汉、玛莎（在国内均有生产线）为主，国内以科达、天元为主，国内外的主要技术参数基本相同，该技术已经相对稳定。蒸压加气混凝土产品具有轻质保温、绿色环保、抗渗防潮、防火阻燃、隔音降噪、施工便捷等特点；在生产过程中，可利用大量的工业固体废弃物，理想状态下，一条年产30万立方米蒸压加气混凝土生产线，至少可利用10万吨工业固体废弃物；蒸压加气混凝土板材是装配式建筑最理想的墙体材料之一；蒸压加气混凝土产品符合国家墙改政策，可大量节约粘土资源，保护农田。如此多的优越性决定了它在墙体材料中的重要作用，是国家首推的绿色墙体材料，在世界上也被广泛关注。</w:t>
            </w:r>
          </w:p>
          <w:p>
            <w:pPr>
              <w:ind w:firstLine="450" w:firstLineChars="25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目前国产加气设备的热点区域集中在东南亚和中东。东南亚等国经济逐步向好加上国家出台相关政策支持，促进房地产产业的发展，为新型墙材的引入提供了巨大的商机。无论是加气砌块产品应用相对普遍的印尼等国，还是人口基数较大的印度，或者南美、非洲等区域，市场前景也值得观望。由于加气行业国内没有标准的外文版，国外没有相关的加气装备标准，出口企业很难出具具有权威性技术标准，而且企业既懂外文又熟悉专业的人才也较少，靠企业本身翻译的困难很大，给企业造成了很多困扰，使得国产装备对外推广与应用增添了障碍，为了消除这种障碍，推出标准的外文版势在必行</w:t>
            </w:r>
            <w:r>
              <w:rPr>
                <w:rFonts w:hint="eastAsia" w:ascii="宋体" w:hAnsi="宋体" w:eastAsia="宋体" w:cs="宋体"/>
                <w:color w:val="auto"/>
                <w:sz w:val="18"/>
                <w:szCs w:val="18"/>
                <w:highlight w:val="none"/>
                <w:lang w:eastAsia="zh-CN"/>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蒸压加气混凝土设备 模具</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Mould for Autoclaved Aerated Concrete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bCs/>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JC/T 1031-2015(2017)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国家建筑材料工业机械标准化技术委员会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安徽科达机电有限公司等</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50" w:firstLineChars="25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蒸压加气混凝土设备模具”是蒸压加气混凝土板材生产的关键设备，国外伊通、玛莎（在国内均有生产线）、国内科达、天元均是空翻式模具，威汉是地翻式模具，标准对二种模具的技术参数均予以确定，该技术已经相对稳定。蒸压加气混凝土产品具有轻质保温、绿色环保、抗渗防潮、防火阻燃、隔音降噪、施工便捷等特点；在生产过程中，可利用大量的工业固体废弃物，理想状态下，一条年产30万立方米蒸压加气混凝土生产线，至少可利用10万吨工业固体废弃物；蒸压加气混凝土板材是装配式建筑最理想的墙体材料之一；蒸压加气混凝土产品符合国家墙改政策，可大量节约粘土资源，保护农田。如此多的优越性决定了它在墙体材料中的重要作用，是国家首推的绿色墙体材料，在世界上也被广泛关注。</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目前国产加气设备的热点区域集中在东南亚和中东。东南亚等国经济逐步向好加上国家出台相关政策支持，促进房地产产业的发展，为新型墙材的引入提供了巨大的商机。无论是加气砌块产品应用相对普遍的印尼等国，还是人口基数较大的印度，或者南美、非洲等区域，市场前景也值得观望。由于加气行业国内没有标准的外文版，国外没有相关的加气装备标准，出口企业很难出具具有权威性技术标准，而且企业既懂外文又熟悉专业的人才也较少，靠企业本身翻译的困难很大，给企业造成了很多困扰，使得国产装备对外推广与应用增添了障碍，为了消除这种障碍，推出标准的外文版势在必行</w:t>
            </w:r>
            <w:r>
              <w:rPr>
                <w:rFonts w:hint="eastAsia" w:ascii="宋体" w:hAnsi="宋体" w:eastAsia="宋体" w:cs="宋体"/>
                <w:color w:val="auto"/>
                <w:sz w:val="18"/>
                <w:szCs w:val="18"/>
                <w:highlight w:val="none"/>
                <w:lang w:eastAsia="zh-CN"/>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蒸压加气混凝土设备 翻转清理机</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Tilting Cleaning</w:t>
            </w:r>
          </w:p>
          <w:p>
            <w:pPr>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Machine for</w:t>
            </w:r>
          </w:p>
          <w:p>
            <w:pPr>
              <w:spacing w:line="2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Autoclaved Aerated Concrete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bCs/>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JC/T 2430-2017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国家建筑材料工业机械标准化技术委员会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安徽科达机电有限公司等</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蒸压加气混凝土设备翻转清理机”是蒸压加气混凝土板材生产的关键设备，翻转清理机在国内由科达新铭丰首创，现普遍应用于各新建生产线和改造线，国外威汉生产线也配备翻转清理机，伊通、玛莎目前还没有。该设备国内外的主要技术参数基本相同，该技术已经相对稳定。蒸压加气混凝土产品具有轻质保温、绿色环保、抗渗防潮、防火阻燃、隔音降噪、施工便捷等特点；在生产过程中，可利用大量的工业固体废弃物，理想状态下，一条年产30万立方米蒸压加气混凝土生产线，至少可利用10万吨工业固体废弃物；蒸压加气混凝土板材是装配式建筑最理想的墙体材料之一；蒸压加气混凝土产品符合国家墙改政策，可大量节约粘土资源，保护农田。如此多的优越性决定了它在墙体材料中的重要作用，是国家首推的绿色墙体材料，在世界上也被广泛关注。</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目前国产加气设备的热点区域集中在东南亚和中东。东南亚等国经济逐步向好加上国家出台相关政策支持，促进房地产产业的发展，为新型墙材的引入提供了巨大的商机。无论是加气砌块产品应用相对普遍的印尼等国，还是人口基数较大的印度，或者南美、非洲等区域，市场前景也值得观望。由于加气行业国内没有标准的外文版，国外没有相关的加气装备标准，出口企业很难出具具有权威性技术标准，而且企业既懂外文又熟悉专业的人才也较少，靠企业本身翻译的困难很大，给企业造成了很多困扰，使得国产装备对外推广与应用增添了障碍，为了消除这种障碍，推出标准的外文版势在必行</w:t>
            </w:r>
            <w:r>
              <w:rPr>
                <w:rFonts w:hint="eastAsia" w:ascii="宋体" w:hAnsi="宋体" w:eastAsia="宋体" w:cs="宋体"/>
                <w:color w:val="auto"/>
                <w:sz w:val="18"/>
                <w:szCs w:val="18"/>
                <w:highlight w:val="none"/>
                <w:lang w:eastAsia="zh-CN"/>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蒸压加气混凝土设备 摆渡车</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Ferry Car for</w:t>
            </w:r>
          </w:p>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 Autoclaved Aerated Concrete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bCs/>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JC/T 2429-2017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国家建筑材料工业机械标准化技术委员会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安徽科达机电有限公司等</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50" w:firstLineChars="25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蒸压加气混凝土设备摆渡车”是蒸压加气混凝土板材生产的关键设备，国外以伊通、威汉、玛莎（在国内均有生产线）为主，国内以科达、天元为主，国内外的主要技术参数基本相同，该技术已经相对稳定。蒸压加气混凝土产品具有轻质保温、绿色环保、抗渗防潮、防火阻燃、隔音降噪、施工便捷等特点；在生产过程中，可利用大量的工业固体废弃物，理想状态下，一条年产30万立方米蒸压加气混凝土生产线，至少可利用10万吨工业固体废弃物；蒸压加气混凝土板材是装配式建筑最理想的墙体材料之一；蒸压加气混凝土产品符合国家墙改政策，可大量节约粘土资源，保护农田。如此多的优越性决定了它在墙体材料中的重要作用，是国家首推的绿色墙体材料，在世界上也被广泛关注。目前，国产加气设备的热点区域集中在东南亚和中东。东南亚等国经济逐步向好加上国家出台相关政策支持，促进房地产产业的发展，为新型墙材的引入提供了巨大的商机。无论是加气砌块产品应用相对普遍的印尼等国，还是人口基数较大的印度，或者南美、非洲等区域，市场前景也值得观望。由于加气行业国内没有标准的外文版，国外没有相关的加气装备标准，出口企业很难出具具有权威性技术标准，而且企业既懂外文又熟悉专业的人才也较少，靠企业本身翻译的困难很大，给企业造成了很多困扰，使得国产装备对外推广与应用增添了障碍，为了消除这种障碍，推出标准的外文版势在必行</w:t>
            </w:r>
            <w:r>
              <w:rPr>
                <w:rFonts w:hint="eastAsia" w:ascii="宋体" w:hAnsi="宋体" w:eastAsia="宋体" w:cs="宋体"/>
                <w:color w:val="auto"/>
                <w:sz w:val="18"/>
                <w:szCs w:val="18"/>
                <w:highlight w:val="none"/>
                <w:lang w:eastAsia="zh-CN"/>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蒸压加气混凝土设备 空翻脱模机</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Demoulding Machine for Autoclaved Aerated Concrete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bCs/>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JC/T 2431-2017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国家建筑材料工业机械标准化技术委员会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安徽科达机电有限公司等</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蒸压加气混凝土设备空翻脱模机”是蒸压加气混凝土板材生产的关键设备，国外以伊通、玛莎（在国内均有生产线）为主，国内以科达、天元为主，国内外的主要技术参数基本相同，该技术已经相对稳定。蒸压加气混凝土产品具有轻质保温、绿色环保、抗渗防潮、防火阻燃、隔音降噪、施工便捷等特点；在生产过程中，可利用大量的工业固体废弃物，理想状态下，一条年产30万立方米蒸压加气混凝土生产线，至少可利用10万吨工业固体废弃物；蒸压加气混凝土板材是装配式建筑最理想的墙体材料之一；蒸压加气混凝土产品符合国家墙改政策，可大量节约粘土资源，保护农田。如此多的优越性决定了它在墙体材料中的重要作用，是国家首推的绿色墙体材料，在世界上也被广泛关注。</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目前国产加气设备的热点区域集中在东南亚和中东。东南亚等国经济逐步向好加上国家出台相关政策支持，促进房地产产业的发展，为新型墙材的引入提供了巨大的商机。无论是加气砌块产品应用相对普遍的印尼等国，还是人口基数较大的印度，或者南美、非洲等区域，市场前景也值得观望。由于加气行业国内没有标准的外文版，国外没有相关的加气装备标准，出口企业很难出具具有权威性技术标准，而且企业既懂外文又熟悉专业的人才也较少，靠企业本身翻译的困难很大，给企业造成了很多困扰，使得国产装备对外推广与应用增添了障碍，为了消除这种障碍，推出标准的外文版势在必行</w:t>
            </w:r>
            <w:r>
              <w:rPr>
                <w:rFonts w:hint="eastAsia" w:ascii="宋体" w:hAnsi="宋体" w:eastAsia="宋体" w:cs="宋体"/>
                <w:color w:val="auto"/>
                <w:sz w:val="18"/>
                <w:szCs w:val="18"/>
                <w:highlight w:val="none"/>
                <w:lang w:eastAsia="zh-CN"/>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蒸压加气混凝土设备 坯体传送机</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Transferring Machine for Autoclaved Aerated Concrete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bCs/>
                <w:color w:val="auto"/>
                <w:sz w:val="18"/>
                <w:szCs w:val="18"/>
                <w:highlight w:val="none"/>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2017-0412T-JC</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国家建筑材料工业机械标准化技术委员会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安徽科达机电有限公司等</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蒸压加气混凝土设备坯体传送机”是蒸压加气混凝土板材生产的关键设备，国外以伊通、威汉、玛莎（在国内均有生产线）为主，国内以科达、天元为主，国内外的主要技术参数基本相同，该技术已经相对稳定。蒸压加气混凝土产品具有轻质保温、绿色环保、抗渗防潮、防火阻燃、隔音降噪、施工便捷等特点；在生产过程中，可利用大量的工业固体废弃物，理想状态下，一条年产30万立方米蒸压加气混凝土生产线，至少可利用10万吨工业固体废弃物；蒸压加气混凝土板材是装配式建筑最理想的墙体材料之一；蒸压加气混凝土产品符合国家墙改政策，可大量节约粘土资源，保护农田。如此多的优越性决定了它在墙体材料中的重要作用，是国家首推的绿色墙体材料，在世界上也被广泛关注。</w:t>
            </w:r>
          </w:p>
          <w:p>
            <w:pPr>
              <w:ind w:firstLine="450" w:firstLineChars="25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目前国产加气设备的热点区域集中在东南亚和中东。东南亚等国经济逐步向好加上国家出台相关政策支持，促进房地产产业的发展，为新型墙材的引入提供了巨大的商机。无论是加气砌块产品应用相对普遍的印尼等国，还是人口基数较大的印度，或者南美、非洲等区域，市场前景也值得观望。由于加气行业国内没有标准的外文版，国外没有相关的加气装备标准，出口企业很难出具具有权威性技术标准，而且企业既懂外文又熟悉专业的人才也较少，靠企业本身翻译的困难很大，给企业造成了很多困扰，使得国产装备对外推广与应用增添了障碍，为了消除这种障碍，推出标准的外文版势在必行</w:t>
            </w:r>
            <w:r>
              <w:rPr>
                <w:rFonts w:hint="eastAsia" w:ascii="宋体" w:hAnsi="宋体" w:eastAsia="宋体" w:cs="宋体"/>
                <w:color w:val="auto"/>
                <w:sz w:val="18"/>
                <w:szCs w:val="18"/>
                <w:highlight w:val="none"/>
                <w:lang w:eastAsia="zh-CN"/>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蒸压加气混凝土设备 夹坯机</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Clamping Machine for Autoclaved Aerated Concrete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bCs/>
                <w:color w:val="auto"/>
                <w:sz w:val="18"/>
                <w:szCs w:val="18"/>
                <w:highlight w:val="none"/>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2017-0411T-JC</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国家建筑材料工业机械标准化技术委员会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安徽科达机电有限公司等</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50" w:firstLineChars="25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蒸压加气混凝土设备夹坯机”是蒸压加气混凝土板材生产的关键设备，国外以伊通、威汉、玛莎（在国内均有生产线）为主，国内以科达、天元为主，国内外的主要技术参数基本相同，该技术已经相对稳定。蒸压加气混凝土产品具有轻质保温、绿色环保、抗渗防潮、防火阻燃、隔音降噪、施工便捷等特点；在生产过程中，可利用大量的工业固体废弃物，理想状态下，一条年产30万立方米蒸压加气混凝土生产线，至少可利用10万吨工业固体废弃物；蒸压加气混凝土板材是装配式建筑最理想的墙体材料之一；蒸压加气混凝土产品符合国家墙改政策，可大量节约粘土资源，保护农田。如此多的优越性决定了它在墙体材料中的重要作用，是国家首推的绿色墙体材料，在世界上也被广泛关注。</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目前国产加气设备的热点区域集中在东南亚和中东。东南亚等国经济逐步向好加上国家出台相关政策支持，促进房地产产业的发展，为新型墙材的引入提供了巨大的商机。无论是加气砌块产品应用相对普遍的印尼等国，还是人口基数较大的印度，或者南美、非洲等区域，市场前景也值得观望。由于加气行业国内没有标准的外文版，国外没有相关的加气装备标准，出口企业很难出具具有权威性技术标准，而且企业既懂外文又熟悉专业的人才也较少，靠企业本身翻译的困难很大，给企业造成了很多困扰，使得国产装备对外推广与应用增添了障碍，为了消除这种障碍，推出标准的外文版势在必行</w:t>
            </w:r>
            <w:r>
              <w:rPr>
                <w:rFonts w:hint="eastAsia" w:ascii="宋体" w:hAnsi="宋体" w:eastAsia="宋体" w:cs="宋体"/>
                <w:color w:val="auto"/>
                <w:sz w:val="18"/>
                <w:szCs w:val="18"/>
                <w:highlight w:val="none"/>
                <w:lang w:eastAsia="zh-CN"/>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蒸压加气混凝土设备 安拔钎机</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Steel Pluging Machine for Autoclaved Aerated Concrete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bCs/>
                <w:color w:val="auto"/>
                <w:sz w:val="18"/>
                <w:szCs w:val="18"/>
                <w:highlight w:val="none"/>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2017-0410T-JC</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国家建筑材料工业机械标准化技术委员会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安徽科达机电有限公司等</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50" w:firstLineChars="25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蒸压加气混凝土设备安拔钎机”是蒸压加气混凝土板材生产的关键设备，国外以伊通、威汉、玛莎（在国内均有生产线）为主，国内以科达、天元为主，国内外的主要技术参数基本相同，该技术已经相对稳定。蒸压加气混凝土产品具有轻质保温、绿色环保、抗渗防潮、防火阻燃、隔音降噪、施工便捷等特点；在生产过程中，可利用大量的工业固体废弃物，理想状态下，一条年产30万立方米蒸压加气混凝土生产线，至少可利用10万吨工业固体废弃物；蒸压加气混凝土板材是装配式建筑最理想的墙体材料之一；蒸压加气混凝土产品符合国家墙改政策，可大量节约粘土资源，保护农田。如此多的优越性决定了它在墙体材料中的重要作用，是国家首推的绿色墙体材料，在世界上也被广泛关注。</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目前国产加气设备的热点区域集中在东南亚和中东。东南亚等国经济逐步向好加上国家出台相关政策支持，促进房地产产业的发展，为新型墙材的引入提供了巨大的商机。无论是加气砌块产品应用相对普遍的印尼等国，还是人口基数较大的印度，或者南美、非洲等区域，市场前景也值得观望。于加气行业国内没有标准的外文版，国外没有相关的加气装备标准，出口企业很难出具具有权威性技术标准，而且企业既懂外文又熟悉专业的人才也较少，靠企业本身翻译的困难很大，给企业造成了很多困扰，使得国产装备对外推广与应用增添了障碍，为了消除这种障碍，推出标准的外文版势在必行</w:t>
            </w:r>
            <w:r>
              <w:rPr>
                <w:rFonts w:hint="eastAsia" w:ascii="宋体" w:hAnsi="宋体" w:eastAsia="宋体" w:cs="宋体"/>
                <w:color w:val="auto"/>
                <w:sz w:val="18"/>
                <w:szCs w:val="18"/>
                <w:highlight w:val="none"/>
                <w:lang w:eastAsia="zh-CN"/>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水泥机械设备安装工程施工及验收规范</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Code for equipment installing and acceptance of cement mechanical equipment</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bCs/>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JCJ/T 3-2017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中国建筑材料联合会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中国建材工程建设协会等</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建材工程建设行业通过近十几年的境外水泥工程施工承包实践，已在“一带一路”沿线国家及其他国家承包建设了近370条水泥工程生产线，占全球数量的65%份额，如越南福山水泥公司日产5000吨熟料生产线、伊拉克苏莱曼尼亚水泥厂二期日产5300吨水泥生产线、沙特利雅得水泥公司二期日产5000吨水泥熟料生产线、印尼BAYAH日产10000吨熟料水泥生产线、埃及GOE BEEEEEENI SUEF 6X日产6000吨熟料水泥生产线、阿尔及利亚BC 2X日产6000吨熟料A线生产线、保加利亚代夫尼亚（Devnya）水泥厂日产4000吨熟料生产线、巴基斯坦BCL 日产6000吨水泥生产线、老挝红狮日产5000吨熟料水泥生产线、缅甸日多淼二线日产5000吨熟料水泥生产线、刚果（布）DANGOT日产3000吨熟料水泥生产线等众多项目，取得了突出的成绩，由于没有规范外文版，在工程施工和验收时，我方还是经常受制于外方，对工程决算产生不利影响，造成我方不应有的损失。同时，为了尽快减少欧美发达国家对水泥工厂建设标准的垄断，有利于降低“一带一路”沿线国家水泥工厂的建设成本和我国建材工程建设行业“走出去”的成本，同时为在境外工程施工中树立我国标准形象、提升我国施工队伍的话语权及水泥工厂的施工和验收水平，</w:t>
            </w:r>
            <w:r>
              <w:rPr>
                <w:rFonts w:hint="eastAsia" w:ascii="宋体" w:hAnsi="宋体" w:eastAsia="宋体" w:cs="宋体"/>
                <w:color w:val="auto"/>
                <w:sz w:val="18"/>
                <w:szCs w:val="18"/>
                <w:highlight w:val="none"/>
                <w:lang w:eastAsia="zh-CN"/>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sz w:val="18"/>
                <w:szCs w:val="18"/>
                <w:highlight w:val="none"/>
              </w:rPr>
            </w:pPr>
            <w:r>
              <w:rPr>
                <w:rFonts w:hint="eastAsia" w:ascii="宋体" w:hAnsi="宋体" w:eastAsia="宋体" w:cs="宋体"/>
                <w:b/>
                <w:bCs/>
                <w:color w:val="auto"/>
                <w:sz w:val="18"/>
                <w:szCs w:val="18"/>
                <w:highlight w:val="none"/>
              </w:rPr>
              <w:t>轻工行业</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休闲鞋</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Casual shoes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QB/T 2955-2017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全国制鞋标准化技术委员会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中国皮革制鞋研究院有限公司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国外对日常穿用鞋类产品质量的管理和规范主要是对原材料和部件、附件的质量进行检测控制，而实践证明，不仅原材料影响鞋产品的质量，生产工艺的控制也对鞋产品质量有着重要影响。因此我国不仅对原材料进行质量要求，还对整鞋产品的质量进行规范，并制定了相应的产品标准，以便对整鞋产品的质量予以有效地监控和管理。</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QB/T 2955-2017《休闲鞋》标准是我国重要的鞋类产品标准之一，对休闲鞋的术语和定义、分类、要求、试验方法、检验规则、包装储运图示标志、包装、运输、贮存等多个项目进行规定。《休闲鞋》是我国自主研制的产品标准，经过一次修订，已经实施了十年。该标准的实施对休闲鞋进行了有效的规范，保护穿用者的安全，促进制鞋行业对休闲鞋产品质量的管理，同时为市场监管者提供参考依据。因此将《休闲鞋》标准翻译为外文版，不仅让国外鞋类贸易商、生产商和其他利益相关方了解标准相关内容，向一带一路国家推广我们的鞋类产品质量管理理念，并通过产品标准进一步扩大在国际上的影响力。该外文版将可以成为国际贸易双方对于休闲鞋质量的评价依据，解决双方标准可依的问题，促进我国向一带一路国家的鞋类产品出口。</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我国是贸易大国，鞋类产品在我国贸易中占有重要的地位，《休闲鞋》标准外文版（英文）的编制和发布，让国外了解并接受中国的鞋类产品标准，有助于向一带一路国家展示我国鞋类标准化的工作水平和鞋类产品质量的检测和控制管理水平，提升我国鞋类产品的国际地位，有利于与一带一路国家在标准化工作中的交流和合作，促进彼此间的贸易和交流。从而减少国际贸易争端、树立自主品牌国际形象等方面均具有重要意义</w:t>
            </w:r>
            <w:r>
              <w:rPr>
                <w:rFonts w:hint="eastAsia" w:ascii="宋体" w:hAnsi="宋体" w:eastAsia="宋体" w:cs="宋体"/>
                <w:color w:val="auto"/>
                <w:sz w:val="18"/>
                <w:szCs w:val="18"/>
                <w:highlight w:val="none"/>
                <w:lang w:eastAsia="zh-CN"/>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儿童皮鞋</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Children’s leather shoes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QB/T 2880-2016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全国制鞋标准化技术委员会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中国皮革制鞋研究院有限公司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国外对日常穿用鞋类产品质量的管理和规范主要是对原材料和部件、附件的质量进行检测控制，而实践证明，不仅原材料影响鞋产品的质量，生产工艺的控制也对鞋产品质量有着重要影响。因此我国不仅对原材料进行质量要求，还对整鞋产品的质量进行规范，并制定了相应的产品标准，以便对整鞋产品的质量予以有效地监控和管理。</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QB/T 2880-2016《儿童皮鞋》标准是我国重要的鞋类产品标准之一，对儿童皮鞋的术语和定义、分类、要求、试验方法、检验规则及判定规则、标志、包装、运输、贮存等多个项目进行规定。《儿童皮鞋》是我国自主研制的产品标准，经过一次修订，已经实施了十多年。该标准的实施对儿童皮鞋进行了有效的规范，保护穿用者的安全，促进制鞋行业对儿童皮鞋产品质量的管理，同时为市场监管者提供参考依据。因此将《儿童皮鞋》标准翻译为外文版，不仅让国外鞋类贸易商、生产商和其他利益相关方了解标准相关内容，向一带一路国家推广我们的鞋类产品质量管理理念，并通过产品标准进一步扩大在国际上的影响力。该外文版将可以成为国际贸易双方对于儿童皮鞋质量的评价依据，解决双方无标准可依的问题，促进我国向一带一路国家的鞋类产品出口。</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我国是贸易大国，鞋类产品在我国贸易中占有重要的地位，《儿童皮鞋》标准外文版（英文）的编制和发布，让国外了解并接受中国的鞋类产品标准，有助于向一带一路国家展示我国鞋类标准化的工作水平和鞋类产品质量的检测和控制管理水平，提升我国鞋类产品的国际地位，有利于与一带一路国家在标准化工作中的交流和合作，促进彼此间的贸易和交流。从而减少国际贸易争端、树立自主品牌国际形象等方面均具有重要意义</w:t>
            </w:r>
            <w:r>
              <w:rPr>
                <w:rFonts w:hint="eastAsia" w:ascii="宋体" w:hAnsi="宋体" w:eastAsia="宋体" w:cs="宋体"/>
                <w:color w:val="auto"/>
                <w:sz w:val="18"/>
                <w:szCs w:val="18"/>
                <w:highlight w:val="none"/>
                <w:lang w:eastAsia="zh-CN"/>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鞋用纤维板屈挠指数</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Flexing index of fiberous board for footwear</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QB/T 1472-2013</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全国制鞋标准化技术委员会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中国皮革制鞋研究院有限公司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鞋用纤维板屈挠指数标准是对鞋用纤维板屈挠性能进行检测和要求，有助于提高鞋类纤维板的安全性。QB/T 1472-2013《鞋用纤维板屈挠指数》标准是我国重要的鞋类产品标准之一，对鞋用纤维板屈挠指数的术语和定义、要求、试验方法、结果表示、检验规则及判定、试验报告等多个项目进行规定。《鞋用纤维板屈挠指数》是我国自主研制的产品标准，经过一次修订，已经实施了二十多年。该标准的实施对日常穿用鞋的内底纤维板进行了有效的规范，保护穿用者的安全，促进制鞋行业对鞋用纤维板质量的管理，同时为市场监管者提供参考依据。因此将《鞋用纤维板屈挠指数》标准翻译为外文版，不仅让国外鞋类贸易商、生产商和其他利益相关方了解标准相关内容，向一带一路国家推广我们的鞋类产品质量管理理念，并通过产品标准进一步扩大在国际上的影响力。该外文版将可以成为国际贸易双方对于鞋用纤维板屈挠指数质量的评价依据，解决双方无标准可依的问题，促进我国向一带一路国家的鞋类产品出口。</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我国是贸易大国，鞋类产品在我国贸易中占有重要的地位，《鞋用纤维屈挠指数》标准外文版（英文）的编制和发布，让国外了解并接受中国的鞋类产品标准，有助于向一带一路国家展示我国鞋类标准化的工作水平和鞋类产品质量的检测和控制管理水平，提升我国鞋类产品的国际地位，有利于与一带一路国家在标准化工作中的交流和合作，促进彼此间的贸易和交流。从而减少国际贸易争端、树立自主品牌国际形象等方面均具有重要意义</w:t>
            </w:r>
            <w:r>
              <w:rPr>
                <w:rFonts w:hint="eastAsia" w:ascii="宋体" w:hAnsi="宋体" w:eastAsia="宋体" w:cs="宋体"/>
                <w:color w:val="auto"/>
                <w:sz w:val="18"/>
                <w:szCs w:val="18"/>
                <w:highlight w:val="none"/>
                <w:lang w:eastAsia="zh-CN"/>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鞋类试穿检验规则</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Footwear-Rules for determination of the suitability</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QB/T 2674-2013</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全国制鞋标准化技术委员会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中国皮革制鞋研究院有限公司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QB/T 2674-2013《鞋类试穿检验规则》是我国重要的鞋类基础标准之一，规定了各类鞋靴产品正式生产前的试穿检验规则，对术语和定义、试验鞋、承试人员、试穿时间、试穿方法、结果表示、结果报告等等多个项目进行规定。《鞋类试穿检验规则》是我国自主研制的基础标准，经过二次修订，已经实施了十多年。该标准的实施对鞋类试穿性进行了有效的规范，保护穿用者的安全，促进制鞋行业鞋类产品质量的管理。因此将《鞋类试穿检验规则》标准翻译为外文版，不仅让国外鞋类贸易商、生产商和其他利益相关方了解标准相关内容，向一带一路国家推广我们的鞋类试穿检验理念，在鞋类试穿上更便于达成共识，同时有助于共同提高鞋产品的舒适性和适脚性，促进我国向一带一路国家的鞋类产品出口。</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我国是贸易大国，鞋类产品在我国贸易中占有重要的地位，《鞋类试验检验规则》标准外文版（英文）的编制和发布，让国外了解并接受中国的鞋类基础标准，有助于向一带一路国家展示我国鞋类标准化的工作水平，提升我国鞋类产品的国际地位，有利于与一带一路国家在标准化工作中的交流和合作，促进彼此间的贸易和交流。从而减少国际贸易争端、树立自主品牌国际形象等方面均具有重要意义</w:t>
            </w:r>
            <w:r>
              <w:rPr>
                <w:rFonts w:hint="eastAsia" w:ascii="宋体" w:hAnsi="宋体" w:eastAsia="宋体" w:cs="宋体"/>
                <w:color w:val="auto"/>
                <w:sz w:val="18"/>
                <w:szCs w:val="18"/>
                <w:highlight w:val="none"/>
                <w:lang w:eastAsia="zh-CN"/>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鞋类 化学试验方法 烷基酚聚氧乙烯醚的测定</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Footwear - Chemical test method-Determination of alkylphenol ethoxylates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QB/T 4338-2012</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全国制鞋标准化技术委员会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中国皮革制鞋研究院有限公司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QB/T 4338-2012《鞋类 化学试验方法 烷基酚聚氧乙烯醚的测定》标准是我国鞋类的方法标准，规定了所有鞋类产品和鞋类部件中烷基酚聚氧乙烯醚的试验方法。《鞋类 化学试验方法 烷基酚聚氧乙烯醚的测定》是我国自主研制的方法标准，2012年首次发布，实施了六年。该标准的实施对鞋类和鞋类部件中烷基酚聚氧乙烯醚的检验方法进行了有效的规范，保护穿用者的安全，促进制鞋行业对鞋类产品质量的管理，同时为市场监管者提供参考依据。因此将《鞋类 化学试验方法 烷基酚聚氧乙烯醚的测定》标准翻译为外文版，不仅让国外鞋类贸易商、生产商和其他利益相关方了解标准相关内容，向一带一路国家推广我们的鞋类产品质量管理理念，提高鞋类产品的安全性，解决烷基酚聚氧乙烯醚检测过程中无标准可依的问题，加强对鞋类产品中化学限量物质的监督检查，促进我国向一带一路国家的鞋类产品出口。</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我国是贸易大国，鞋类产品在我国贸易中占有重要的地位，《鞋类 化学试验方法 烷基酚聚氧乙烯醚的测定》标准外文版（英文）的编制和发布，让国外了解并接受中国的鞋类质量检测标准，有助于向一带一路国家展示我国鞋类标准化的工作水平和鞋类产品质量的检测和控制管理水平，提升我国鞋类产品的国际地位，有利于与一带一路国家在标准化工作中的交流和合作，促进彼此间的贸易和交流。从而减少国际贸易争端、树立自主品牌国际形象等方面均具有重要意义</w:t>
            </w:r>
            <w:r>
              <w:rPr>
                <w:rFonts w:hint="eastAsia" w:ascii="宋体" w:hAnsi="宋体" w:eastAsia="宋体" w:cs="宋体"/>
                <w:color w:val="auto"/>
                <w:sz w:val="18"/>
                <w:szCs w:val="18"/>
                <w:highlight w:val="none"/>
                <w:lang w:eastAsia="zh-CN"/>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鞋类 化学试验方法 全氟辛烷磺酸盐和全氟辛酸的测定 液相色谱-串联质谱法</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Footwear-Chemical test method-determination of perfluorooctane sulfonate and perfluorooctanoate-LC-MS/MS </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QB/T 4554-2013</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全国制鞋标准化技术委员会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中国皮革制鞋研究院有限公司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QB/T 4554-2013《鞋类 化学试验方法 全氟辛烷磺酸盐和全氟辛酸的测定 液相色谱-串联质谱法》标准是我国鞋类的方法标准，规定了鞋类和鞋类部件中全氟辛烷磺酸盐（PFOS）和全氟辛酸（PFOA）的试验方法。《鞋类 化学试验方法 全氟辛烷磺酸盐和全氟辛酸的测定 液相色谱-串联质谱法》是我国自主研制的方法标准，2013年首次发布，2014年实施。该标准的实施对鞋类和鞋类部件中全氟辛烷磺酸盐和全氟辛酸的检验方法进行了有效的规范，保护穿用者的安全，促进制鞋行业对鞋类产品质量的管理，同时为市场监管者提供参考依据。因此将《鞋类 化学试验方法 全氟辛烷磺酸盐和全氟辛酸的测定 液相色谱-串联质谱法》标准翻译为外文版，不仅让国外鞋类贸易商、生产商和其他利益相关方了解标准相关内容，向一带一路国家推广我们的鞋类产品质量管理理念，提高鞋类产品的安全性，解决全氟辛烷磺酸盐和全氟辛酸检测过程中无标准可依的问题，加强对鞋类产品中化学限量物质的监督检查，促进我国向一带一路国家的鞋类产品出口。</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我国是贸易大国，鞋类产品在我国贸易中占有重要的地位，《鞋类 化学试验方法 全氟辛烷磺酸盐和全氟辛酸的测定 液相色谱-串联质谱法》标准外文版（英文）的编制和发布，让国外了解并接受中国的鞋类质量检测标准，有助于向一带一路国家展示我国鞋类标准化的工作水平和鞋类产品质量的检测和控制管理水平，提升我国鞋类产品的国际地位，有利于与一带一路国家在标准化工作中的交流和合作，促进彼此间的贸易和交流。从而减少国际贸易争端、树立自主品牌国际形象等方面均具有重要意义</w:t>
            </w:r>
            <w:r>
              <w:rPr>
                <w:rFonts w:hint="eastAsia" w:ascii="宋体" w:hAnsi="宋体" w:eastAsia="宋体" w:cs="宋体"/>
                <w:color w:val="auto"/>
                <w:sz w:val="18"/>
                <w:szCs w:val="18"/>
                <w:highlight w:val="none"/>
                <w:lang w:eastAsia="zh-CN"/>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sz w:val="18"/>
                <w:szCs w:val="18"/>
                <w:highlight w:val="none"/>
              </w:rPr>
            </w:pPr>
            <w:r>
              <w:rPr>
                <w:rFonts w:hint="eastAsia" w:ascii="宋体" w:hAnsi="宋体" w:eastAsia="宋体" w:cs="宋体"/>
                <w:b/>
                <w:bCs/>
                <w:color w:val="auto"/>
                <w:sz w:val="18"/>
                <w:szCs w:val="18"/>
                <w:highlight w:val="none"/>
              </w:rPr>
              <w:t>电子行业</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平衡车用锂离子电池和电池组规范</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Specifications of lithium ion cells and batteries used in self-balancing vehicle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SJ/T 11685-2017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中国电子技术标准化研究院</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中国电子技术标准化研究院、东莞新能源科技有限公司、欣旺达电子股份有限公司、纳恩博（北京）科技有限公司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在全球“节能减排”的号召下，电动平衡车这类低碳环保的智能产品，以其体积小、轻便、易驾驶的优势，已经被越来越多的人所接受。截至2016年底我国的电动平衡车产业已具备较大规模，占据全球平衡车产业的90%。目前国际、国外均无专门针对平衡车用锂离子电池标准。平衡车的特殊性加上锂离子电池质量参差不齐，起火、爆炸造成的人员伤亡的事故时常发生，给我国平衡车的出口带来了巨大冲击。目前国际上现有的几部关于锂离子电池性能的标准并不能满足平衡车用锂离子电池的需求。IEC 61960规定了便携式锂离子电池的性能要求，IEC 62620规定了工业用锂离子电池的性能要求，IEC 62660-1规定了电动汽车用锂离子电池芯的性能要求，ISO 12405系列规定了电动汽车用锂离子电池组的性能要求，但均未涉及平衡车用锂离子电池的一些特殊要求。</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SJ/T 11685-2017《平衡车用锂离子电池和电池组规范》是全球第一部专门针对平衡车用锂离子电池和电池组的标准。该标准在参考了国内外相关先进标准要求，结合国内该类产品在存储、运输、使用等过程中的能要求自主创新制定的我国平衡车用锂离子电池行业标准。该标准规定了锂离子电池和电池组在常温、高温、低温下的放容量要求，还针对平衡车的使用特性，规定了电池组的工况循环寿命，是目前平衡车用锂离子电池生产、监督抽查主要的参考标准。将SJ/T 11685-2017翻译为英文版本，可以保证标准及时、准确的实施，同时有利于推进标准互认，促进与“一带一路”沿线国家和地区标准化方面的双多边务实合作和互联互通</w:t>
            </w:r>
            <w:r>
              <w:rPr>
                <w:rFonts w:hint="eastAsia" w:ascii="宋体" w:hAnsi="宋体" w:eastAsia="宋体" w:cs="宋体"/>
                <w:color w:val="auto"/>
                <w:sz w:val="18"/>
                <w:szCs w:val="18"/>
                <w:highlight w:val="none"/>
                <w:lang w:eastAsia="zh-CN"/>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sz w:val="18"/>
                <w:szCs w:val="18"/>
                <w:highlight w:val="none"/>
              </w:rPr>
            </w:pPr>
            <w:r>
              <w:rPr>
                <w:rFonts w:hint="eastAsia" w:ascii="宋体" w:hAnsi="宋体" w:eastAsia="宋体" w:cs="宋体"/>
                <w:b/>
                <w:bCs/>
                <w:color w:val="auto"/>
                <w:sz w:val="18"/>
                <w:szCs w:val="18"/>
                <w:highlight w:val="none"/>
              </w:rPr>
              <w:t>通信行业</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地下通信管道用塑料管 第4部分：硅芯管</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Plastic duct for telecommunication underground conduit</w:t>
            </w:r>
          </w:p>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Part 4: Silicore plastic duct</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YD/T 841.4-2016（2017）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lang w:val="zh-TW"/>
              </w:rPr>
            </w:pPr>
            <w:r>
              <w:rPr>
                <w:rFonts w:hint="eastAsia" w:ascii="宋体" w:hAnsi="宋体" w:eastAsia="宋体" w:cs="宋体"/>
                <w:color w:val="auto"/>
                <w:sz w:val="18"/>
                <w:szCs w:val="18"/>
                <w:highlight w:val="none"/>
              </w:rPr>
              <w:t>中国通信标准化协会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中国信息通信研究院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地下通信管道用塑料管是通信工程基础设施建设中必不可少的一部分，在通信光缆、电缆的敷设过程中起到穿导、隔离、保护等作用。在城市通信、铁路、高速公路、隧道、通信电缆、广播电视线路网络等中应用广泛。硅芯管是光缆线路中大量应用的管材产品。</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我国光网络建设发展迅速，在我国基础设施建设中用管道方式铺设光缆是主流的方式。我国光缆线路建设应用了大量的通信管道用硅芯管，在该产品方面有丰富的使用经验。我国对该类产品的标准研究也走在世界前列，早在1996年就制定了该类产品的行业标准，并且随着技术的发展进步不断对标准进行修订和扩展，形成了有8个部分的分部分标准，覆盖通信线路中常用的主流管材产品，目前本部分的最新版本为2016版。该标准具有基础性强、规范清晰、试验方法科学易操作等优点，有利于标准在网络发展迅速的发展中国家的应用，并且在我国已经有大量使用经验。该标准与我国的施工设计规范相兼容，我国运营商和设计、施工、运维单位习惯于使用该类产品。</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国内众多企业在积极开拓国外市场。近年来我国通信工程建设技术成熟、经验丰富，在国际上具有较大的竞争力，但目前国际上对于基础设施的标准要求不统一，阻碍了通信建设的发展和互联互通。将该产品国际化，将有助于促进“一带一路”沿线国家的网络基础设施建设和我国与周边国家的跨境光缆线路互联互通。同时，也有利于我国相关生产制造企业和建设、施工等企业“走出去”。此外，该分部分标准的第1～3部分已经纳入行业标准外文版项目计划中，本部分的外文化将促进该类产品标准体系上的国际化。</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地下通信管道用塑料管 第5部分：梅花管</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Plastic duct for telecommunication underground conduit</w:t>
            </w:r>
          </w:p>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Part 5: Plum blossom duct</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YD/T 841.5-2016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中国通信标准化协会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中国信息通信研究院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地下通信管道用塑料管是通信工程基础设施建设中必不可少的一部分，在通信光缆、电缆的敷设过程中起到穿导、隔离、保护等作用。在城市通信、铁路、高速公路、隧道、通信电缆、广播电视线路网络等中应用广泛。梅花管是光缆线路中大量应用的管材产品。</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我国光网络建设发展迅速，在我国基础设施建设中用管道方式铺设光缆是主流的方式。我国光缆线路建设应用了大量的通信管道用梅花管，在该产品方面有丰富的使用经验。我国对该类产品的标准研究也走在世界前列，早在1996年就制定了该类产品的行业标准，并且随着技术的发展进步不断对标准进行修订和扩展，形成了有8个部分的分部分标准，覆盖通信线路中常用的主流管材产品，目前本部分的最新版本为2016版。该标准具有基础性强、规范清晰、试验方法科学易操作等优点，有利于标准在网络发展迅速的发展中国家的应用，并且在我国已经有大量使用经验。该标准与我国的施工设计规范相兼容，我国运营商和设计、施工、运维单位习惯于使用该类产品。</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国内众多企业在积极开拓国外市场。近年来我国通信工程建设技术成熟、经验丰富，在国际上具有较大的竞争力，但目前国际上对于基础设施的标准要求不统一，阻碍了通信建设的发展和互联互通。将该产品国际化，将有助于促进“一带一路”沿线国家的网络基础设施建设和我国与周边国家的跨境光缆线路互联互通。同时，也有利于我国相关生产制造企业和建设、施工等企业“走出去”。此外，该分部分标准的第1～3部分已经纳入行业标准外文版项目计划中，本部分的外文化将促进该类产品标准体系上的国际化。</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地下通信管道用塑料管 第6部分：栅格管</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Plastic duct for telecommunication underground conduit</w:t>
            </w:r>
          </w:p>
          <w:p>
            <w:pPr>
              <w:rPr>
                <w:rFonts w:hint="eastAsia" w:ascii="宋体" w:hAnsi="宋体" w:eastAsia="宋体" w:cs="宋体"/>
                <w:color w:val="auto"/>
                <w:sz w:val="18"/>
                <w:szCs w:val="18"/>
                <w:highlight w:val="none"/>
                <w:lang w:val="zh-TW"/>
              </w:rPr>
            </w:pPr>
            <w:r>
              <w:rPr>
                <w:rFonts w:hint="eastAsia" w:ascii="宋体" w:hAnsi="宋体" w:eastAsia="宋体" w:cs="宋体"/>
                <w:color w:val="auto"/>
                <w:sz w:val="18"/>
                <w:szCs w:val="18"/>
                <w:highlight w:val="none"/>
              </w:rPr>
              <w:t>Part 6: Grid duct</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lang w:val="zh-TW"/>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lang w:val="zh-TW"/>
              </w:rPr>
            </w:pPr>
            <w:r>
              <w:rPr>
                <w:rFonts w:hint="eastAsia" w:ascii="宋体" w:hAnsi="宋体" w:eastAsia="宋体" w:cs="宋体"/>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lang w:val="zh-TW"/>
              </w:rPr>
            </w:pPr>
            <w:r>
              <w:rPr>
                <w:rFonts w:hint="eastAsia" w:ascii="宋体" w:hAnsi="宋体" w:eastAsia="宋体" w:cs="宋体"/>
                <w:color w:val="auto"/>
                <w:sz w:val="18"/>
                <w:szCs w:val="18"/>
                <w:highlight w:val="none"/>
              </w:rPr>
              <w:t>YD/T 841.6-2017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lang w:val="zh-TW"/>
              </w:rPr>
            </w:pPr>
            <w:r>
              <w:rPr>
                <w:rFonts w:hint="eastAsia" w:ascii="宋体" w:hAnsi="宋体" w:eastAsia="宋体" w:cs="宋体"/>
                <w:color w:val="auto"/>
                <w:sz w:val="18"/>
                <w:szCs w:val="18"/>
                <w:highlight w:val="none"/>
              </w:rPr>
              <w:t>中国通信标准化协会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lang w:val="zh-TW"/>
              </w:rPr>
            </w:pPr>
            <w:r>
              <w:rPr>
                <w:rFonts w:hint="eastAsia" w:ascii="宋体" w:hAnsi="宋体" w:eastAsia="宋体" w:cs="宋体"/>
                <w:color w:val="auto"/>
                <w:sz w:val="18"/>
                <w:szCs w:val="18"/>
                <w:highlight w:val="none"/>
              </w:rPr>
              <w:t>中国信息通信研究院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地下通信管道用塑料管是通信工程基础设施建设中必不可少的一部分，在通信光缆、电缆的敷设过程中起到穿导、隔离、保护等作用。在城市通信、铁路、高速公路、隧道、通信电缆、广播电视线路网络等中应用广泛。栅格管是光缆线路中大量应用的管材产品。</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我国光网络建设发展迅速，在我国基础设施建设中用管道方式铺设光缆是主流的方式。我国光缆线路建设应用了大量的通信管道用栅格管，在该产品方面有丰富的使用经验。我国对该类产品的标准研究也走在世界前列，早在1996年就制定了该类产品的行业标准，并且随着技术的发展进步不断对标准进行修订和扩展，形成了有8个部分的分部分标准，覆盖通信线路中常用的主流管材产品，目前本部分的最新版本为2017版。该标准具有基础性强、规范清晰、试验方法科学易操作等优点，有利于标准在网络发展迅速的发展中国家的应用，并且在我国已经有大量使用经验。该标准与我国的施工设计规范相兼容，我国运营商和设计、施工、运维单位习惯于使用该类产品。</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国内众多企业在积极开拓国外市场。近年来我国通信工程建设技术成熟、经验丰富，在国际上具有较大的竞争力，但目前国际上对于基础设施的标准要求不统一，阻碍了通信建设的发展和互联互通。将该产品国际化，将有助于促进“一带一路”沿线国家的网络基础设施建设和我国与周边国家的跨境光缆线路互联互通。同时，也有利于我国相关生产制造企业和建设、施工等企业“走出去”。此外，该分部分标准的第1～3部分已经纳入行业标准外文版项目计划中，本部分的外文化将促进该类产品标准体系上的国际化。</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地下通信管道用塑料管 第7部分：蜂窝管</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Plastic duct for telecommunication underground conduit</w:t>
            </w:r>
          </w:p>
          <w:p>
            <w:pPr>
              <w:rPr>
                <w:rFonts w:hint="eastAsia" w:ascii="宋体" w:hAnsi="宋体" w:eastAsia="宋体" w:cs="宋体"/>
                <w:color w:val="auto"/>
                <w:sz w:val="18"/>
                <w:szCs w:val="18"/>
                <w:highlight w:val="none"/>
                <w:lang w:val="zh-TW" w:eastAsia="zh-TW"/>
              </w:rPr>
            </w:pPr>
            <w:r>
              <w:rPr>
                <w:rFonts w:hint="eastAsia" w:ascii="宋体" w:hAnsi="宋体" w:eastAsia="宋体" w:cs="宋体"/>
                <w:color w:val="auto"/>
                <w:sz w:val="18"/>
                <w:szCs w:val="18"/>
                <w:highlight w:val="none"/>
              </w:rPr>
              <w:t>Part 7: Honeycomb type duct</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lang w:val="zh-TW" w:eastAsia="zh-TW"/>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lang w:val="zh-TW" w:eastAsia="zh-TW"/>
              </w:rPr>
            </w:pPr>
            <w:r>
              <w:rPr>
                <w:rFonts w:hint="eastAsia" w:ascii="宋体" w:hAnsi="宋体" w:eastAsia="宋体" w:cs="宋体"/>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lang w:val="zh-TW" w:eastAsia="zh-TW"/>
              </w:rPr>
            </w:pPr>
            <w:r>
              <w:rPr>
                <w:rFonts w:hint="eastAsia" w:ascii="宋体" w:hAnsi="宋体" w:eastAsia="宋体" w:cs="宋体"/>
                <w:color w:val="auto"/>
                <w:sz w:val="18"/>
                <w:szCs w:val="18"/>
                <w:highlight w:val="none"/>
              </w:rPr>
              <w:t>YD/T 841.7-2017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lang w:val="zh-TW" w:eastAsia="zh-TW"/>
              </w:rPr>
            </w:pPr>
            <w:r>
              <w:rPr>
                <w:rFonts w:hint="eastAsia" w:ascii="宋体" w:hAnsi="宋体" w:eastAsia="宋体" w:cs="宋体"/>
                <w:color w:val="auto"/>
                <w:sz w:val="18"/>
                <w:szCs w:val="18"/>
                <w:highlight w:val="none"/>
              </w:rPr>
              <w:t>中国通信标准化协会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lang w:val="zh-TW" w:eastAsia="zh-TW"/>
              </w:rPr>
            </w:pPr>
            <w:r>
              <w:rPr>
                <w:rFonts w:hint="eastAsia" w:ascii="宋体" w:hAnsi="宋体" w:eastAsia="宋体" w:cs="宋体"/>
                <w:color w:val="auto"/>
                <w:sz w:val="18"/>
                <w:szCs w:val="18"/>
                <w:highlight w:val="none"/>
              </w:rPr>
              <w:t>中国信息通信研究院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地下通信管道用塑料管是通信工程基础设施建设中必不可少的一部分，在通信光缆、电缆的敷设过程中起到穿导、隔离、保护等作用。在城市通信、铁路、高速公路、隧道、通信电缆、广播电视线路网络等中应用广泛。蜂窝管是光缆线路中大量应用的管材产品。</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我国光网络建设发展迅速，在我国基础设施建设中用管道方式铺设光缆是主流的方式。我国光缆线路建设应用了大量的通信管道用蜂窝管，在该产品方面有丰富的使用经验。我国对该类产品的标准研究也走在世界前列，早在1996年就制定了该类产品的行业标准，并且随着技术的发展进步不断对标准进行修订和扩展，形成了有8个部分的分部分标准，覆盖通信线路中常用的主流管材产品，目前本部分的最新版本为2017版。该标准具有基础性强、规范清晰、试验方法科学易操作等优点，有利于标准在网络发展迅速的发展中国家的应用，并且在我国已经有大量使用经验。该标准与我国的施工设计规范相兼容，我国运营商和设计、施工、运维单位习惯于使用该类产品。</w:t>
            </w:r>
          </w:p>
          <w:p>
            <w:pPr>
              <w:ind w:firstLine="360" w:firstLineChars="200"/>
              <w:rPr>
                <w:rFonts w:hint="eastAsia" w:ascii="宋体" w:hAnsi="宋体" w:eastAsia="宋体" w:cs="宋体"/>
                <w:color w:val="auto"/>
                <w:sz w:val="18"/>
                <w:szCs w:val="18"/>
                <w:highlight w:val="none"/>
                <w:lang w:val="zh-TW"/>
              </w:rPr>
            </w:pPr>
            <w:r>
              <w:rPr>
                <w:rFonts w:hint="eastAsia" w:ascii="宋体" w:hAnsi="宋体" w:eastAsia="宋体" w:cs="宋体"/>
                <w:color w:val="auto"/>
                <w:sz w:val="18"/>
                <w:szCs w:val="18"/>
                <w:highlight w:val="none"/>
              </w:rPr>
              <w:t>国内众多企业在积极开拓国外市场。近年来我国通信工程建设技术成熟、经验丰富，在国际上具有较大的竞争力，但目前国际上对于基础设施的标准要求不统一，阻碍了通信建设的发展和互联互通。将该产品国际化，将有助于促进“一带一路”沿线国家的网络基础设施建设和我国与周边国家的跨境光缆线路互联互通。同时，也有利于我国相关生产制造企业和建设、施工等企业“走出去”。此外，该分部分标准的第1～3部分已经纳入行业标准外文版项目计划中，本部分的外文化将促进该类产品标准体系上的国际化。</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地下通信管道用塑料管 第8部分：塑料合金复合型管</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Plastic pipe for buried telecommunication conduit Part 8: Plastic-alloy composite pipe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YD/T 841.8-2014（2017）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lang w:val="zh-TW"/>
              </w:rPr>
            </w:pPr>
            <w:r>
              <w:rPr>
                <w:rFonts w:hint="eastAsia" w:ascii="宋体" w:hAnsi="宋体" w:eastAsia="宋体" w:cs="宋体"/>
                <w:color w:val="auto"/>
                <w:sz w:val="18"/>
                <w:szCs w:val="18"/>
                <w:highlight w:val="none"/>
              </w:rPr>
              <w:t>中国通信标准化协会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中国信息通信研究院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地下通信管道用塑料管是通信工程基础设施建设中必不可少的一部分，在通信光缆、电缆的敷设过程中起到穿导、隔离、保护等作用。在城市通信、铁路、高速公路、隧道、通信电缆、广播电视线路网络等中应用广泛。塑料合金复合型管是光缆线路中大量应用的管材产品。</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我国光网络建设发展迅速，在我国基础设施建设中用管道方式铺设光缆是主流的方式。我国光缆线路建设应用了大量的通信管道用塑料合金复合型管，在该产品方面有丰富的使用经验。我国对该类产品的标准研究也走在世界前列，早在1996年就制定了该类产品的行业标准，并且随着技术的发展进步不断对标准进行修订和扩展，形成了有8个部分的分部分标准，覆盖通信线路中常用的主流管材产品，目前本部分的最新版本为2014版。该标准具有基础性强、规范清晰、试验方法科学易操作等优点，有利于标准在网络发展迅速的发展中国家的应用，并且在我国已经有大量使用经验。该标准与我国的施工设计规范相兼容，我国运营商和设计、施工、运维单位习惯于使用该类产品。</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国内众多企业在积极开拓国外市场。近年来我国通信工程建设技术成熟、经验丰富，在国际上具有较大的竞争力，但目前国际上对于基础设施的标准要求不统一，阻碍了通信建设的发展和互联互通。将该产品国际化，将有助于促进“一带一路”沿线国家的网络基础设施建设和我国与周边国家的跨境光缆线路互联互通。同时，也有利于我国相关生产制造企业和建设、施工等企业“走出去”。此外，该分部分标准的第1～3部分已经纳入行业标准外文版项目计划中，本部分的外文化将促进该类产品标准体系上的国际化。</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地球静止轨道卫星固定业务的链路计算方法</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Method of linkbudget for fixed-satellite service operating with a satellite in geostationary-satellite orbit</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YD/T 2721-2014（2017）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lang w:val="zh-TW" w:eastAsia="zh-TW"/>
              </w:rPr>
            </w:pPr>
            <w:r>
              <w:rPr>
                <w:rFonts w:hint="eastAsia" w:ascii="宋体" w:hAnsi="宋体" w:eastAsia="宋体" w:cs="宋体"/>
                <w:color w:val="auto"/>
                <w:sz w:val="18"/>
                <w:szCs w:val="18"/>
                <w:highlight w:val="none"/>
              </w:rPr>
              <w:t>中国通信标准化协会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中国卫通集团股份有限公司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2016年10月，国防科工局和发改委发布了《关于加快推进“一带一路”空间信息走廊建设与应用的指导意见》。《意见》指出，要提升“一带一路”空间信息覆盖能力，加速国家卫星系统建设，加强与国际相关卫星系统合作，积极推动商业卫星系统发展，完善空间信息地面应用服务设施，构建空间信息共享服务网络。</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目前，我国拥有的通信广播卫星已经覆盖包括一带一路国家在内的全球大部分区域，更多频段、覆盖更加灵活的卫星也正在研制中，为一带一路提供的卫星通信服务也正在大力扩展。作为卫星通信领域重要的基础性标准之一，该项行业标准的外文版研制，将为促进一带一路卫星通信服务快速规范发展发挥积极作用</w:t>
            </w:r>
            <w:r>
              <w:rPr>
                <w:rFonts w:hint="eastAsia" w:ascii="宋体" w:hAnsi="宋体" w:eastAsia="宋体" w:cs="宋体"/>
                <w:color w:val="auto"/>
                <w:sz w:val="18"/>
                <w:szCs w:val="18"/>
                <w:highlight w:val="none"/>
                <w:lang w:eastAsia="zh-CN"/>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lang w:val="zh-TW" w:eastAsia="zh-TW"/>
              </w:rPr>
            </w:pPr>
            <w:r>
              <w:rPr>
                <w:rFonts w:hint="eastAsia" w:ascii="宋体" w:hAnsi="宋体" w:eastAsia="宋体" w:cs="宋体"/>
                <w:color w:val="auto"/>
                <w:sz w:val="18"/>
                <w:szCs w:val="18"/>
                <w:highlight w:val="none"/>
              </w:rPr>
              <w:t>通信系统用户外机柜</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Outdoor cabinets for telecommunications system</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lang w:val="zh-TW"/>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lang w:val="zh-TW"/>
              </w:rPr>
            </w:pPr>
            <w:r>
              <w:rPr>
                <w:rFonts w:hint="eastAsia" w:ascii="宋体" w:hAnsi="宋体" w:eastAsia="宋体" w:cs="宋体"/>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lang w:val="zh-TW" w:eastAsia="zh-TW"/>
              </w:rPr>
            </w:pPr>
            <w:r>
              <w:rPr>
                <w:rFonts w:hint="eastAsia" w:ascii="宋体" w:hAnsi="宋体" w:eastAsia="宋体" w:cs="宋体"/>
                <w:color w:val="auto"/>
                <w:sz w:val="18"/>
                <w:szCs w:val="18"/>
                <w:highlight w:val="none"/>
              </w:rPr>
              <w:t>YD/T 1537-2015（2017）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lang w:val="zh-TW" w:eastAsia="zh-TW"/>
              </w:rPr>
            </w:pPr>
            <w:r>
              <w:rPr>
                <w:rFonts w:hint="eastAsia" w:ascii="宋体" w:hAnsi="宋体" w:eastAsia="宋体" w:cs="宋体"/>
                <w:color w:val="auto"/>
                <w:sz w:val="18"/>
                <w:szCs w:val="18"/>
                <w:highlight w:val="none"/>
              </w:rPr>
              <w:t>中国通信标准化协会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lang w:val="zh-TW"/>
              </w:rPr>
            </w:pPr>
            <w:r>
              <w:rPr>
                <w:rFonts w:hint="eastAsia" w:ascii="宋体" w:hAnsi="宋体" w:eastAsia="宋体" w:cs="宋体"/>
                <w:color w:val="auto"/>
                <w:sz w:val="18"/>
                <w:szCs w:val="18"/>
                <w:highlight w:val="none"/>
              </w:rPr>
              <w:t>中国信息通信研究院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通信系统用户外机柜是光通信网络中的重要基础设施，是为无线通信站点或有线网络站点工作站提供户外物理工作环境和安全系统的设备。机柜内可安装基站设备、电源设备、蓄电池、温控设备、传输设备及其他配套设备或为以上设备预留安装空间及换热容量，能为内部设备正常运行提供可靠的机械和环境保护。</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我国光网络建设发展迅速，在基础设施建设中使用了大量的户外机柜，在该产品方面有丰富的使用经验。同时，该产品的相关制造业发展迅速，产能在世界前列。我国对该类产品的标准研究也走在世界前列，早在2006年就制定了该产品的行业标准，并且随着技术的发展进步对标准进行了修订，目前的版本为2015版。该标准具有基础性强、规范清晰、试验方法科学易操作等优点，有利于标准在网络发展迅速的发展中国家的应用，在我国已经有大量使用经验。我国运营商和设计、施工、运维单位习惯于使用该产品。</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将该产品国际化，将有助于促进“一带一路”沿线国家的网络基础设施建设，减少和消除数字鸿沟。同时，也有利于我国相关生产制造企业和建设、施工等企业“走出去”</w:t>
            </w:r>
            <w:r>
              <w:rPr>
                <w:rFonts w:hint="eastAsia" w:ascii="宋体" w:hAnsi="宋体" w:eastAsia="宋体" w:cs="宋体"/>
                <w:color w:val="auto"/>
                <w:sz w:val="18"/>
                <w:szCs w:val="18"/>
                <w:highlight w:val="none"/>
                <w:lang w:eastAsia="zh-CN"/>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暴露于射频电磁场的通信设施运维人员职业防护技术要求</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lang w:val="zh-TW" w:eastAsia="zh-TW"/>
              </w:rPr>
            </w:pPr>
            <w:r>
              <w:rPr>
                <w:rFonts w:hint="eastAsia" w:ascii="宋体" w:hAnsi="宋体" w:eastAsia="宋体" w:cs="宋体"/>
                <w:color w:val="auto"/>
                <w:sz w:val="18"/>
                <w:szCs w:val="18"/>
                <w:highlight w:val="none"/>
                <w:lang w:val="zh-TW" w:eastAsia="zh-TW"/>
              </w:rPr>
              <w:t>The technical requirements of occupational protection for the telecommunication facilities operation and maintenance personnel exposure to radio-frequency electromagnetic fields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lang w:val="zh-TW" w:eastAsia="zh-TW"/>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lang w:val="zh-TW" w:eastAsia="zh-TW"/>
              </w:rPr>
            </w:pPr>
            <w:r>
              <w:rPr>
                <w:rFonts w:hint="eastAsia" w:ascii="宋体" w:hAnsi="宋体" w:eastAsia="宋体" w:cs="宋体"/>
                <w:color w:val="auto"/>
                <w:sz w:val="18"/>
                <w:szCs w:val="18"/>
                <w:highlight w:val="none"/>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lang w:val="zh-TW" w:eastAsia="zh-TW"/>
              </w:rPr>
            </w:pPr>
            <w:r>
              <w:rPr>
                <w:rFonts w:hint="eastAsia" w:ascii="宋体" w:hAnsi="宋体" w:eastAsia="宋体" w:cs="宋体"/>
                <w:color w:val="auto"/>
                <w:sz w:val="18"/>
                <w:szCs w:val="18"/>
                <w:highlight w:val="none"/>
              </w:rPr>
              <w:t>2016-1107T-YD</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lang w:val="zh-TW" w:eastAsia="zh-TW"/>
              </w:rPr>
            </w:pPr>
            <w:r>
              <w:rPr>
                <w:rFonts w:hint="eastAsia" w:ascii="宋体" w:hAnsi="宋体" w:eastAsia="宋体" w:cs="宋体"/>
                <w:color w:val="auto"/>
                <w:sz w:val="18"/>
                <w:szCs w:val="18"/>
                <w:highlight w:val="none"/>
              </w:rPr>
              <w:t>中国通信标准化协会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lang w:val="zh-TW" w:eastAsia="zh-TW"/>
              </w:rPr>
            </w:pPr>
            <w:r>
              <w:rPr>
                <w:rFonts w:hint="eastAsia" w:ascii="宋体" w:hAnsi="宋体" w:eastAsia="宋体" w:cs="宋体"/>
                <w:color w:val="auto"/>
                <w:sz w:val="18"/>
                <w:szCs w:val="18"/>
                <w:highlight w:val="none"/>
              </w:rPr>
              <w:t>中国电信集团有限公司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lang w:val="zh-TW"/>
              </w:rPr>
            </w:pPr>
            <w:r>
              <w:rPr>
                <w:rFonts w:hint="eastAsia" w:ascii="宋体" w:hAnsi="宋体" w:eastAsia="宋体" w:cs="宋体"/>
                <w:color w:val="auto"/>
                <w:sz w:val="18"/>
                <w:szCs w:val="18"/>
                <w:highlight w:val="none"/>
                <w:lang w:val="zh-TW"/>
              </w:rPr>
              <w:t>本标准针对通信设施运维人员在射频电磁场（9k-300GHz）附近（如无线通信基站、微波站等）作业时，制定人体暴露于RF电磁场的安全防护规范；为需要近距离靠近射频发射源工作的网络运维工作人员提供实用的工作程序和防护指南。</w:t>
            </w:r>
          </w:p>
          <w:p>
            <w:pPr>
              <w:ind w:firstLine="360" w:firstLineChars="200"/>
              <w:rPr>
                <w:rFonts w:hint="eastAsia" w:ascii="宋体" w:hAnsi="宋体" w:eastAsia="宋体" w:cs="宋体"/>
                <w:color w:val="auto"/>
                <w:sz w:val="18"/>
                <w:szCs w:val="18"/>
                <w:highlight w:val="none"/>
                <w:lang w:val="zh-TW"/>
              </w:rPr>
            </w:pPr>
            <w:r>
              <w:rPr>
                <w:rFonts w:hint="eastAsia" w:ascii="宋体" w:hAnsi="宋体" w:eastAsia="宋体" w:cs="宋体"/>
                <w:color w:val="auto"/>
                <w:sz w:val="18"/>
                <w:szCs w:val="18"/>
                <w:highlight w:val="none"/>
                <w:lang w:val="zh-TW"/>
              </w:rPr>
              <w:t>国内外有相关类似标准（如EN 50499、ITU-T K.122、YD/T 2196等），但针对通信行业运维人员对射频电磁场的职业防护方面尚处于标准空白状态。</w:t>
            </w:r>
          </w:p>
          <w:p>
            <w:pPr>
              <w:ind w:firstLine="360" w:firstLineChars="200"/>
              <w:rPr>
                <w:rFonts w:hint="eastAsia" w:ascii="宋体" w:hAnsi="宋体" w:eastAsia="宋体" w:cs="宋体"/>
                <w:color w:val="auto"/>
                <w:sz w:val="18"/>
                <w:szCs w:val="18"/>
                <w:highlight w:val="none"/>
                <w:lang w:val="zh-TW"/>
              </w:rPr>
            </w:pPr>
            <w:r>
              <w:rPr>
                <w:rFonts w:hint="eastAsia" w:ascii="宋体" w:hAnsi="宋体" w:eastAsia="宋体" w:cs="宋体"/>
                <w:color w:val="auto"/>
                <w:sz w:val="18"/>
                <w:szCs w:val="18"/>
                <w:highlight w:val="none"/>
                <w:lang w:val="zh-TW"/>
              </w:rPr>
              <w:t>通过本标准的制定，可以更好地指引通信网络运维人员的人体暴露安全作业；可以指导“一带一路”国家的电信运营商加强对通信设施运维工人的职业防护，完善相应辐射评估与工作程序管理，具有重要的现实指导意义，特申请外文版立项。</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工业互联网 标识解析体系架构</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Industrial Internet</w:t>
            </w:r>
          </w:p>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Identification and Resolution</w:t>
            </w:r>
          </w:p>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System Architecture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2018-1377T-YD</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lang w:val="zh-TW"/>
              </w:rPr>
            </w:pPr>
            <w:r>
              <w:rPr>
                <w:rFonts w:hint="eastAsia" w:ascii="宋体" w:hAnsi="宋体" w:eastAsia="宋体" w:cs="宋体"/>
                <w:color w:val="auto"/>
                <w:sz w:val="18"/>
                <w:szCs w:val="18"/>
                <w:highlight w:val="none"/>
              </w:rPr>
              <w:t>中国通信标准化协会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中国信息通信研究院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国际上物品编码协会（GS1）发布了GS1标识体系架构，数字对象基金会（DONA）发布了Handle标识解析体系架构；国内也提出了OID标识解析体系架构、Ecode标识解析体系架构、NIOT标识解析体系架构，工业互联网产业联盟（AII）持续开展相关研究并发布了具有开放性和兼容性的工业互联网标识解析研究报告。</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在本标准研制过程中，将主要参考工业互联网产业联盟（AII）所开展工业互联网标识解析体系架构研究，并充分吸收国内外相关研究成果，给出我国工业互联网标识解析体系架构。</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目前国标委已经批复“智能制造 标识解析体系要求”国家标准（20170054-T-339），本标准属于工业互联网顶层设计，将为“工业互联网 标识解析体系架构”提供参考和指导。</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ST8已经启动工业互联网标识解析体系架构的行标立项，此次申请同步研制英文标准立项，以提升国际影响、促进我国“一带一路”建设。</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工业互联网 体系架构</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Industrial Internet System Architecture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2018-1378T-YD</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lang w:val="zh-TW"/>
              </w:rPr>
            </w:pPr>
            <w:r>
              <w:rPr>
                <w:rFonts w:hint="eastAsia" w:ascii="宋体" w:hAnsi="宋体" w:eastAsia="宋体" w:cs="宋体"/>
                <w:color w:val="auto"/>
                <w:sz w:val="18"/>
                <w:szCs w:val="18"/>
                <w:highlight w:val="none"/>
              </w:rPr>
              <w:t>中国通信标准化协会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中国信息通信研究院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lang w:val="zh-TW"/>
              </w:rPr>
            </w:pPr>
            <w:r>
              <w:rPr>
                <w:rFonts w:hint="eastAsia" w:ascii="宋体" w:hAnsi="宋体" w:eastAsia="宋体" w:cs="宋体"/>
                <w:color w:val="auto"/>
                <w:sz w:val="18"/>
                <w:szCs w:val="18"/>
                <w:highlight w:val="none"/>
                <w:lang w:val="zh-TW"/>
              </w:rPr>
              <w:t>当前全球正在掀起新一轮的工业革命和科技革命，信息通信技术与现代工业加速融合，美、德、中、日、韩、法等国积极布局加速工业互联网发展。工业互联网是满足工业智能化发展需求的新基础设施、新业态和新模式。</w:t>
            </w:r>
          </w:p>
          <w:p>
            <w:pPr>
              <w:ind w:firstLine="360" w:firstLineChars="200"/>
              <w:rPr>
                <w:rFonts w:hint="eastAsia" w:ascii="宋体" w:hAnsi="宋体" w:eastAsia="宋体" w:cs="宋体"/>
                <w:color w:val="auto"/>
                <w:sz w:val="18"/>
                <w:szCs w:val="18"/>
                <w:highlight w:val="none"/>
                <w:lang w:val="zh-TW"/>
              </w:rPr>
            </w:pPr>
            <w:r>
              <w:rPr>
                <w:rFonts w:hint="eastAsia" w:ascii="宋体" w:hAnsi="宋体" w:eastAsia="宋体" w:cs="宋体"/>
                <w:color w:val="auto"/>
                <w:sz w:val="18"/>
                <w:szCs w:val="18"/>
                <w:highlight w:val="none"/>
                <w:lang w:val="zh-TW"/>
              </w:rPr>
              <w:t>目前工业互联网尚处于发展初期，工业互联网体系架构是对工业互联网的顶层设计，是工业互联网技术研究、标准研制、产业发展、应用推广的基础和总体指导。对工业互联网体系架构（包括工业互联网内容、关键要素等）认识和理解的差异，有可能导致技术选择、标准路线上的分化，影响互操作性和部署成本。</w:t>
            </w:r>
          </w:p>
          <w:p>
            <w:pPr>
              <w:ind w:firstLine="360" w:firstLineChars="200"/>
              <w:rPr>
                <w:rFonts w:hint="eastAsia" w:ascii="宋体" w:hAnsi="宋体" w:eastAsia="宋体" w:cs="宋体"/>
                <w:color w:val="auto"/>
                <w:sz w:val="18"/>
                <w:szCs w:val="18"/>
                <w:highlight w:val="none"/>
                <w:lang w:val="zh-TW"/>
              </w:rPr>
            </w:pPr>
            <w:r>
              <w:rPr>
                <w:rFonts w:hint="eastAsia" w:ascii="宋体" w:hAnsi="宋体" w:eastAsia="宋体" w:cs="宋体"/>
                <w:color w:val="auto"/>
                <w:sz w:val="18"/>
                <w:szCs w:val="18"/>
                <w:highlight w:val="none"/>
                <w:lang w:val="zh-TW"/>
              </w:rPr>
              <w:t>开展工业互联网体系架构的研究，构建出一个通用的概念化框架，将各种不同的实施方式纳入到统一框架下，并以此为出发点，指导与建立面向不同应用的参考架构及系统模型，为标准化工作开展、实际应用系统规划建设、试验验证、系统集成和应用推广等提供参考基础。</w:t>
            </w:r>
          </w:p>
          <w:p>
            <w:pPr>
              <w:ind w:firstLine="360" w:firstLineChars="200"/>
              <w:rPr>
                <w:rFonts w:hint="eastAsia" w:ascii="宋体" w:hAnsi="宋体" w:eastAsia="宋体" w:cs="宋体"/>
                <w:color w:val="auto"/>
                <w:sz w:val="18"/>
                <w:szCs w:val="18"/>
                <w:highlight w:val="none"/>
                <w:lang w:val="zh-TW"/>
              </w:rPr>
            </w:pPr>
            <w:r>
              <w:rPr>
                <w:rFonts w:hint="eastAsia" w:ascii="宋体" w:hAnsi="宋体" w:eastAsia="宋体" w:cs="宋体"/>
                <w:color w:val="auto"/>
                <w:sz w:val="18"/>
                <w:szCs w:val="18"/>
                <w:highlight w:val="none"/>
                <w:lang w:val="zh-TW"/>
              </w:rPr>
              <w:t>ST8已经启动工业互联网体系架构行标立项，此次申请同步研制英文版，以提升国际影响、提供对“一带一路”建设的基础和支撑作用。</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无线射频拉远单元（RRU）用线缆 第3部分：光电混合缆</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Cable for wireless remote radio unit</w:t>
            </w:r>
          </w:p>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Part 3：Optical and electrical hybrid cables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YD/T 2289.3-2013（2017）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中国通信标准化协会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中国信息通信研究院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我国移动通信网络建设发展迅速，基站建设应用了大量的无线射频拉远单元(RRU)用光电混合缆，在该产品方面有丰富的使用经验。我国对该类产品的标准研究也走在世界前列，2013年就制定了该类产品的行业标准。该标准规范了我国通信行业无线射频拉远单元（RRU）用光电混合缆的产品要求和试验方法等，为行业提供了统一的技术要求。同时，该标准的推广使用大大降低了基站的建设成本和维护成本。</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近年来我国通信工程建设技术成熟、经验丰富，在国际上具有较强的竞争力，但目前国际上对于基站建设的标准要求不统一，阻碍了通信建设的发展和互联互通。该无线射频拉远单元(RRU)用光电混合缆标准具有基础性强、规范清晰、试验方法科学易操作等优点，有利于标准在移动通信发展迅速的发展中国家的推广应用，并且该类产品在我国已经有大量使用经验，与我国的施工设计规范相兼容，我国运营商和设计、施工、运维单位习惯于使用该类产品。因此在国内众多企业在积极开拓国外市场的背景下，将该产品国际化，将有助于促进“一带一路”沿线国家的移动通信网络建设和我国与周边国家的移动通信网络互联互通。同时，也有利于我国相关生产制造企业和建设、施工等企业“走出去”</w:t>
            </w:r>
            <w:r>
              <w:rPr>
                <w:rFonts w:hint="eastAsia" w:ascii="宋体" w:hAnsi="宋体" w:eastAsia="宋体" w:cs="宋体"/>
                <w:color w:val="auto"/>
                <w:sz w:val="18"/>
                <w:szCs w:val="18"/>
                <w:highlight w:val="none"/>
                <w:lang w:eastAsia="zh-CN"/>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无线射频拉远单元（RRU）用线缆 第4部分：预制成端线缆组件</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Cable for wireless remote radio unit </w:t>
            </w:r>
          </w:p>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Part 4：Pre-terminated cable assemblies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YD/T 2289.4-2017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中国通信标准化协会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中国信息通信研究院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我国移动通信网络建设发展迅速，近年来基站建设应用了大量的无线射频拉远单元（RRU）用预制成端线缆组件，在该产品方面有丰富的使用经验，2017年我国制定了该类产品的行业标准。该标准规范了我国通信行业无线射频拉远单元（RRU）用预制成端线缆组件的产品要求和试验方法等，为行业提供了统一的技术要求。同时，该标准的推广使用大大降低了基站的建设成本和维护成本。</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近年来我国通信工程建设技术成熟、经验丰富，在国际上具有较强的竞争力，但目前国际上对于基站建设的标准要求不统一，阻碍了通信建设的发展和互联互通。该无线射频拉远单元(RRU)用预制成端线缆组件标准具有基础性强、规范清晰、试验方法科学易操作等优点，有利于标准在移动通信发展迅速的发展中国家的推广应用，并且该类产品在我国已经有大量使用经验，与我国的施工设计规范相兼容，我国运营商和设计、施工、运维单位习惯于使用该类产品。因此在国内众多企业在积极开拓国外市场的背景下，将该产品国际化，将有助于促进“一带一路”沿线国家的移动通信网络建设和我国与周边国家的移动通信网络互联互通。同时，也有利于我国相关生产制造企业和建设、施工等企业“走出去”，特申请外文版立项。</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lang w:val="zh-TW" w:eastAsia="zh-TW"/>
              </w:rPr>
            </w:pPr>
            <w:r>
              <w:rPr>
                <w:rFonts w:hint="eastAsia" w:ascii="宋体" w:hAnsi="宋体" w:eastAsia="宋体" w:cs="宋体"/>
                <w:color w:val="auto"/>
                <w:sz w:val="18"/>
                <w:szCs w:val="18"/>
                <w:highlight w:val="none"/>
              </w:rPr>
              <w:t>LTE/CDMA/TD-SCDMA/WCDMA/GSM(GPRS)多模双卡多待终端协议一致性测试方法</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Conformance test methods for multimode Dual-Card Multi-Standby user equipment of LTE/CDMA/TD-SCDMA/WCDMA/GSM (GPRS)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lang w:val="zh-TW"/>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2018-1403T-YD</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中国通信标准化协会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中国电信集团有限公司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GCF (Global Certification Forum)，是由运营商和终端制造商共同成立的一个组织，目的是通过独立的认证过程来确保终端的全球互操作。GCF的六模双卡多待终端测试认证项目现阶段的目标是制定双卡终端协议一致性认证标准，目前国内外尚无双卡终端协议一致性测试规范供参考，目前在研的通信行业标准LTE/CDMA/TD-SCDMA/WCDMA/GSM(GPRS)多模双卡多待终端协议一致性测试方法是业界第一份双卡终端协议一致性测试规范，中国作为全球双卡终端的主流市场，在标准的成熟度上领先全球，是GCF双卡终端测试重要的标准来源之一，为了向GCF提供双卡终端一致性测试依据，尽快推动GCF双卡协议一致性认证项目激活，建议同步启动英文版规范翻译。</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本项目为GCF引用测试规范中的测试用例提供了必要、专业的标准来源，是GCF更好的理解本标准制定的测试方法并开展测试和认证工作的前提条件</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有利于加强国内标准组织与GCF、GSMA等标准组织的交流与合作，提升了我国在全球手机市场的影响力和全球手机产业标准话语权，提高了国内手机厂商的国际市场竞争力与影响力，加快国内手机企业“走出去”，助力“一带一路”建设</w:t>
            </w:r>
            <w:r>
              <w:rPr>
                <w:rFonts w:hint="eastAsia" w:ascii="宋体" w:hAnsi="宋体" w:eastAsia="宋体" w:cs="宋体"/>
                <w:color w:val="auto"/>
                <w:sz w:val="18"/>
                <w:szCs w:val="18"/>
                <w:highlight w:val="none"/>
                <w:lang w:eastAsia="zh-CN"/>
              </w:rPr>
              <w:t>，特申请外文版立项</w:t>
            </w:r>
            <w:r>
              <w:rPr>
                <w:rFonts w:hint="eastAsia" w:ascii="宋体" w:hAnsi="宋体" w:eastAsia="宋体" w:cs="宋体"/>
                <w:color w:val="auto"/>
                <w:sz w:val="18"/>
                <w:szCs w:val="18"/>
                <w:highlight w:val="none"/>
              </w:rPr>
              <w:t>。</w:t>
            </w:r>
          </w:p>
        </w:tc>
      </w:tr>
      <w:tr>
        <w:tblPrEx>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lang w:val="zh-TW" w:eastAsia="zh-TW"/>
              </w:rPr>
            </w:pPr>
            <w:r>
              <w:rPr>
                <w:rFonts w:hint="eastAsia" w:ascii="宋体" w:hAnsi="宋体" w:eastAsia="宋体" w:cs="宋体"/>
                <w:color w:val="auto"/>
                <w:sz w:val="18"/>
                <w:szCs w:val="18"/>
                <w:highlight w:val="none"/>
              </w:rPr>
              <w:t>基于可信执行环境（TEE）的eSIM技术要求</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Technical Requirements for eSIM Based on TEE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lang w:val="zh-TW"/>
              </w:rPr>
            </w:pPr>
            <w:r>
              <w:rPr>
                <w:rFonts w:hint="eastAsia" w:ascii="宋体" w:hAnsi="宋体" w:eastAsia="宋体" w:cs="宋体"/>
                <w:color w:val="auto"/>
                <w:sz w:val="18"/>
                <w:szCs w:val="18"/>
                <w:highlight w:val="none"/>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2018-0157T-YD</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中国通信标准化协会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中国—东盟信息港股份有限公司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近年来，随着物联网和可穿戴设备的快速发展，传统SIM卡无法满足终端设备小型化、轻薄化和远程管理的需求，为适应更加复杂苛刻的外部环境，eSIM应运而生，并随着终端设备厂商的推动，eSIM的应用已经从物联网领域扩展到了消费电子领域。而可信执行环境（TEE）提供了硬件芯片、操作系统、应用软件三个层面的隔离，来保护用户的敏感数据与敏感操作，搭载支持TEE的处理器芯片的终端设备占据市场的主流地位，因此基于TEE的安全保护方案将在终端设备上得到广泛应用。</w:t>
            </w:r>
          </w:p>
          <w:p>
            <w:pPr>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目前基于TEE的eSIM方案虽然在终端设备的国际漫游中得到了应用，但目前国内外尚没有制定基于TEE的eSIM的统一标准，所以，需要根据基于TEE的eSIM的技术需求，制定基于TEE的eSIM的技术要求及测试方法，为国内该领域的卡产品实现提供技术参考；同时响应“一带一路”，为国际合作伙伴提供该领域的同类卡产品实现的技术参考和标准参考</w:t>
            </w:r>
            <w:r>
              <w:rPr>
                <w:rFonts w:hint="eastAsia" w:ascii="宋体" w:hAnsi="宋体" w:eastAsia="宋体" w:cs="宋体"/>
                <w:color w:val="auto"/>
                <w:sz w:val="18"/>
                <w:szCs w:val="18"/>
                <w:highlight w:val="none"/>
                <w:lang w:eastAsia="zh-CN"/>
              </w:rPr>
              <w:t>，特申请外文版立项</w:t>
            </w:r>
            <w:r>
              <w:rPr>
                <w:rFonts w:hint="eastAsia" w:ascii="宋体" w:hAnsi="宋体" w:eastAsia="宋体" w:cs="宋体"/>
                <w:color w:val="auto"/>
                <w:sz w:val="18"/>
                <w:szCs w:val="18"/>
                <w:highlight w:val="none"/>
              </w:rPr>
              <w:t>。</w:t>
            </w:r>
          </w:p>
        </w:tc>
      </w:tr>
    </w:tbl>
    <w:p/>
    <w:sectPr>
      <w:footerReference r:id="rId3" w:type="default"/>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035AD"/>
    <w:multiLevelType w:val="singleLevel"/>
    <w:tmpl w:val="501035AD"/>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6F"/>
    <w:rsid w:val="00033071"/>
    <w:rsid w:val="000411E0"/>
    <w:rsid w:val="00077A24"/>
    <w:rsid w:val="0008236D"/>
    <w:rsid w:val="00084B1B"/>
    <w:rsid w:val="0008689D"/>
    <w:rsid w:val="00095F68"/>
    <w:rsid w:val="000A59EF"/>
    <w:rsid w:val="000B6606"/>
    <w:rsid w:val="000C54C8"/>
    <w:rsid w:val="000E47D1"/>
    <w:rsid w:val="00126B6A"/>
    <w:rsid w:val="00136E7F"/>
    <w:rsid w:val="00175634"/>
    <w:rsid w:val="001A187F"/>
    <w:rsid w:val="001A4F80"/>
    <w:rsid w:val="001B140D"/>
    <w:rsid w:val="001B1B7C"/>
    <w:rsid w:val="001B535A"/>
    <w:rsid w:val="001C01F1"/>
    <w:rsid w:val="001D130C"/>
    <w:rsid w:val="001D52A7"/>
    <w:rsid w:val="001E6C51"/>
    <w:rsid w:val="001E6E57"/>
    <w:rsid w:val="001F1E19"/>
    <w:rsid w:val="001F66AD"/>
    <w:rsid w:val="00211DB0"/>
    <w:rsid w:val="00213760"/>
    <w:rsid w:val="00215EF0"/>
    <w:rsid w:val="002176D9"/>
    <w:rsid w:val="00235CE1"/>
    <w:rsid w:val="00240EB0"/>
    <w:rsid w:val="00264C55"/>
    <w:rsid w:val="002773A8"/>
    <w:rsid w:val="0028792B"/>
    <w:rsid w:val="002A5217"/>
    <w:rsid w:val="002A5F87"/>
    <w:rsid w:val="002C09D6"/>
    <w:rsid w:val="002C1326"/>
    <w:rsid w:val="002C31DB"/>
    <w:rsid w:val="002C7B03"/>
    <w:rsid w:val="002D69D4"/>
    <w:rsid w:val="00304621"/>
    <w:rsid w:val="00335F47"/>
    <w:rsid w:val="0033630F"/>
    <w:rsid w:val="0033743F"/>
    <w:rsid w:val="003513FB"/>
    <w:rsid w:val="00360789"/>
    <w:rsid w:val="00366BBB"/>
    <w:rsid w:val="003A0386"/>
    <w:rsid w:val="003D0CA1"/>
    <w:rsid w:val="00432D4E"/>
    <w:rsid w:val="00436610"/>
    <w:rsid w:val="004770B0"/>
    <w:rsid w:val="004A5D50"/>
    <w:rsid w:val="004A68E1"/>
    <w:rsid w:val="004A6A09"/>
    <w:rsid w:val="004B4A67"/>
    <w:rsid w:val="004C24C7"/>
    <w:rsid w:val="00501076"/>
    <w:rsid w:val="00510CB4"/>
    <w:rsid w:val="00513107"/>
    <w:rsid w:val="005154B1"/>
    <w:rsid w:val="00517CE1"/>
    <w:rsid w:val="005200F5"/>
    <w:rsid w:val="00544C73"/>
    <w:rsid w:val="00551068"/>
    <w:rsid w:val="00567404"/>
    <w:rsid w:val="00570E79"/>
    <w:rsid w:val="00590DAF"/>
    <w:rsid w:val="005C140A"/>
    <w:rsid w:val="005C5335"/>
    <w:rsid w:val="006007A6"/>
    <w:rsid w:val="00602DDB"/>
    <w:rsid w:val="00627306"/>
    <w:rsid w:val="00650835"/>
    <w:rsid w:val="00661B43"/>
    <w:rsid w:val="00672D48"/>
    <w:rsid w:val="0067381E"/>
    <w:rsid w:val="006866B8"/>
    <w:rsid w:val="006952F8"/>
    <w:rsid w:val="006A58CD"/>
    <w:rsid w:val="006A7E74"/>
    <w:rsid w:val="006C7785"/>
    <w:rsid w:val="006E4AE4"/>
    <w:rsid w:val="0070002B"/>
    <w:rsid w:val="007020CA"/>
    <w:rsid w:val="00705FF2"/>
    <w:rsid w:val="00713941"/>
    <w:rsid w:val="00730BF9"/>
    <w:rsid w:val="007558AB"/>
    <w:rsid w:val="007601C6"/>
    <w:rsid w:val="00797B9A"/>
    <w:rsid w:val="007A6387"/>
    <w:rsid w:val="007B3DF2"/>
    <w:rsid w:val="007C65B3"/>
    <w:rsid w:val="007D07B2"/>
    <w:rsid w:val="007E6D3E"/>
    <w:rsid w:val="00833E3B"/>
    <w:rsid w:val="00847BA9"/>
    <w:rsid w:val="0085041E"/>
    <w:rsid w:val="00853B99"/>
    <w:rsid w:val="008644B0"/>
    <w:rsid w:val="008939BC"/>
    <w:rsid w:val="008E558F"/>
    <w:rsid w:val="00901F8F"/>
    <w:rsid w:val="00906661"/>
    <w:rsid w:val="00922DD5"/>
    <w:rsid w:val="00934CB9"/>
    <w:rsid w:val="00941CAE"/>
    <w:rsid w:val="0095563B"/>
    <w:rsid w:val="009734A1"/>
    <w:rsid w:val="00990389"/>
    <w:rsid w:val="0099156E"/>
    <w:rsid w:val="0099258C"/>
    <w:rsid w:val="00995700"/>
    <w:rsid w:val="009A2E0C"/>
    <w:rsid w:val="009E309C"/>
    <w:rsid w:val="009F1693"/>
    <w:rsid w:val="009F1ECE"/>
    <w:rsid w:val="00A03330"/>
    <w:rsid w:val="00A0603F"/>
    <w:rsid w:val="00A73C1A"/>
    <w:rsid w:val="00A74133"/>
    <w:rsid w:val="00A84D58"/>
    <w:rsid w:val="00A97864"/>
    <w:rsid w:val="00AA0D16"/>
    <w:rsid w:val="00AC32C3"/>
    <w:rsid w:val="00AF1EA5"/>
    <w:rsid w:val="00AF58C7"/>
    <w:rsid w:val="00B0058D"/>
    <w:rsid w:val="00B10076"/>
    <w:rsid w:val="00B1172C"/>
    <w:rsid w:val="00B2020C"/>
    <w:rsid w:val="00B255BB"/>
    <w:rsid w:val="00B34C2B"/>
    <w:rsid w:val="00B41B63"/>
    <w:rsid w:val="00B521C0"/>
    <w:rsid w:val="00B66B6A"/>
    <w:rsid w:val="00B81553"/>
    <w:rsid w:val="00B92951"/>
    <w:rsid w:val="00BB6829"/>
    <w:rsid w:val="00BC07A3"/>
    <w:rsid w:val="00BD54E5"/>
    <w:rsid w:val="00BD587D"/>
    <w:rsid w:val="00BE57D5"/>
    <w:rsid w:val="00BE6CB7"/>
    <w:rsid w:val="00C05759"/>
    <w:rsid w:val="00C15D1F"/>
    <w:rsid w:val="00C215BE"/>
    <w:rsid w:val="00C3521E"/>
    <w:rsid w:val="00CB0679"/>
    <w:rsid w:val="00CD2019"/>
    <w:rsid w:val="00CE03FD"/>
    <w:rsid w:val="00CE2292"/>
    <w:rsid w:val="00CF336B"/>
    <w:rsid w:val="00CF7F7C"/>
    <w:rsid w:val="00D02762"/>
    <w:rsid w:val="00D05D1D"/>
    <w:rsid w:val="00D06C08"/>
    <w:rsid w:val="00D2186F"/>
    <w:rsid w:val="00D517FE"/>
    <w:rsid w:val="00D64BA4"/>
    <w:rsid w:val="00D67F3F"/>
    <w:rsid w:val="00D865B5"/>
    <w:rsid w:val="00D90262"/>
    <w:rsid w:val="00DA5174"/>
    <w:rsid w:val="00DC2B47"/>
    <w:rsid w:val="00DC5DD9"/>
    <w:rsid w:val="00DD0344"/>
    <w:rsid w:val="00DE2470"/>
    <w:rsid w:val="00DF1DD6"/>
    <w:rsid w:val="00DF28D0"/>
    <w:rsid w:val="00E11C16"/>
    <w:rsid w:val="00E16788"/>
    <w:rsid w:val="00E30607"/>
    <w:rsid w:val="00E338C3"/>
    <w:rsid w:val="00E401EA"/>
    <w:rsid w:val="00E51486"/>
    <w:rsid w:val="00E62EF7"/>
    <w:rsid w:val="00E66B78"/>
    <w:rsid w:val="00E824A7"/>
    <w:rsid w:val="00E92E6F"/>
    <w:rsid w:val="00EA077B"/>
    <w:rsid w:val="00EB4D6A"/>
    <w:rsid w:val="00EB7AA8"/>
    <w:rsid w:val="00EB7F39"/>
    <w:rsid w:val="00ED5795"/>
    <w:rsid w:val="00EF05CF"/>
    <w:rsid w:val="00EF4F26"/>
    <w:rsid w:val="00EF576D"/>
    <w:rsid w:val="00F041CF"/>
    <w:rsid w:val="00F044BC"/>
    <w:rsid w:val="00F22F63"/>
    <w:rsid w:val="00F525B1"/>
    <w:rsid w:val="00F67703"/>
    <w:rsid w:val="00F7356E"/>
    <w:rsid w:val="00F76693"/>
    <w:rsid w:val="00F76EED"/>
    <w:rsid w:val="00F8305B"/>
    <w:rsid w:val="00F86B2C"/>
    <w:rsid w:val="00F97978"/>
    <w:rsid w:val="00FD4C09"/>
    <w:rsid w:val="00FE6D0D"/>
    <w:rsid w:val="00FF4403"/>
    <w:rsid w:val="013B3573"/>
    <w:rsid w:val="02457297"/>
    <w:rsid w:val="024A000B"/>
    <w:rsid w:val="026C6ABE"/>
    <w:rsid w:val="03045FEF"/>
    <w:rsid w:val="041377D2"/>
    <w:rsid w:val="04443838"/>
    <w:rsid w:val="04A96187"/>
    <w:rsid w:val="04B71A91"/>
    <w:rsid w:val="04F22CBE"/>
    <w:rsid w:val="05172FA3"/>
    <w:rsid w:val="0525663E"/>
    <w:rsid w:val="0540655C"/>
    <w:rsid w:val="05F46357"/>
    <w:rsid w:val="05FE6637"/>
    <w:rsid w:val="06337495"/>
    <w:rsid w:val="066F35B5"/>
    <w:rsid w:val="07262B62"/>
    <w:rsid w:val="07894095"/>
    <w:rsid w:val="07B0773F"/>
    <w:rsid w:val="089E1590"/>
    <w:rsid w:val="098C3D1D"/>
    <w:rsid w:val="0A64458D"/>
    <w:rsid w:val="0A8C306E"/>
    <w:rsid w:val="0ACA283E"/>
    <w:rsid w:val="0AF025A6"/>
    <w:rsid w:val="0BAF505D"/>
    <w:rsid w:val="0BFC2244"/>
    <w:rsid w:val="0C125590"/>
    <w:rsid w:val="0CBF426D"/>
    <w:rsid w:val="0CEA7678"/>
    <w:rsid w:val="0D9F0855"/>
    <w:rsid w:val="0E0829C0"/>
    <w:rsid w:val="0E122066"/>
    <w:rsid w:val="0E3B24BB"/>
    <w:rsid w:val="0E477340"/>
    <w:rsid w:val="0E735FC9"/>
    <w:rsid w:val="0EC35CA3"/>
    <w:rsid w:val="0F227FD0"/>
    <w:rsid w:val="0F752998"/>
    <w:rsid w:val="0F76499A"/>
    <w:rsid w:val="0F8A7703"/>
    <w:rsid w:val="10214C4C"/>
    <w:rsid w:val="106D4B25"/>
    <w:rsid w:val="107D5873"/>
    <w:rsid w:val="10E61116"/>
    <w:rsid w:val="1101530E"/>
    <w:rsid w:val="11355FB2"/>
    <w:rsid w:val="11471AF5"/>
    <w:rsid w:val="12353897"/>
    <w:rsid w:val="12506DDD"/>
    <w:rsid w:val="12A972F8"/>
    <w:rsid w:val="12C062F8"/>
    <w:rsid w:val="131868A2"/>
    <w:rsid w:val="133C73AF"/>
    <w:rsid w:val="141B3E43"/>
    <w:rsid w:val="143C68C9"/>
    <w:rsid w:val="146E73C2"/>
    <w:rsid w:val="14F60617"/>
    <w:rsid w:val="156D63A3"/>
    <w:rsid w:val="16082587"/>
    <w:rsid w:val="16645615"/>
    <w:rsid w:val="168B7384"/>
    <w:rsid w:val="16E36A6A"/>
    <w:rsid w:val="174A5355"/>
    <w:rsid w:val="175258EA"/>
    <w:rsid w:val="17EC1F6D"/>
    <w:rsid w:val="17FE1B5A"/>
    <w:rsid w:val="18FD3EE9"/>
    <w:rsid w:val="1927032C"/>
    <w:rsid w:val="192C3410"/>
    <w:rsid w:val="195F657A"/>
    <w:rsid w:val="1A181F57"/>
    <w:rsid w:val="1A845964"/>
    <w:rsid w:val="1AD70938"/>
    <w:rsid w:val="1B1B2D13"/>
    <w:rsid w:val="1B6905B3"/>
    <w:rsid w:val="1B93162A"/>
    <w:rsid w:val="1BDD0F28"/>
    <w:rsid w:val="1BE54C85"/>
    <w:rsid w:val="1C5C5500"/>
    <w:rsid w:val="1D1D469C"/>
    <w:rsid w:val="1D99253B"/>
    <w:rsid w:val="1E6A0EEA"/>
    <w:rsid w:val="1EB35D22"/>
    <w:rsid w:val="1F6B4408"/>
    <w:rsid w:val="20571528"/>
    <w:rsid w:val="207D03F1"/>
    <w:rsid w:val="20D96C13"/>
    <w:rsid w:val="20E9492F"/>
    <w:rsid w:val="215E203D"/>
    <w:rsid w:val="21F24D6B"/>
    <w:rsid w:val="225B2406"/>
    <w:rsid w:val="2291669D"/>
    <w:rsid w:val="23655888"/>
    <w:rsid w:val="237D08B9"/>
    <w:rsid w:val="23EF7D69"/>
    <w:rsid w:val="24277DFD"/>
    <w:rsid w:val="24340DEB"/>
    <w:rsid w:val="2453218E"/>
    <w:rsid w:val="24A63FD9"/>
    <w:rsid w:val="24A73C8A"/>
    <w:rsid w:val="24C72A9F"/>
    <w:rsid w:val="24F974BD"/>
    <w:rsid w:val="251B7984"/>
    <w:rsid w:val="25437862"/>
    <w:rsid w:val="254B2D53"/>
    <w:rsid w:val="259D25B3"/>
    <w:rsid w:val="25E3535F"/>
    <w:rsid w:val="26400508"/>
    <w:rsid w:val="264777E9"/>
    <w:rsid w:val="268D47F2"/>
    <w:rsid w:val="275C53BD"/>
    <w:rsid w:val="2789097A"/>
    <w:rsid w:val="27D5348A"/>
    <w:rsid w:val="28356CE7"/>
    <w:rsid w:val="283A4B8C"/>
    <w:rsid w:val="286D135A"/>
    <w:rsid w:val="28EE0D8D"/>
    <w:rsid w:val="28F1640A"/>
    <w:rsid w:val="28F94790"/>
    <w:rsid w:val="29510C43"/>
    <w:rsid w:val="296224C8"/>
    <w:rsid w:val="299557D3"/>
    <w:rsid w:val="29C23817"/>
    <w:rsid w:val="2A2D1FB7"/>
    <w:rsid w:val="2A421F70"/>
    <w:rsid w:val="2A8F11E2"/>
    <w:rsid w:val="2ADA48B9"/>
    <w:rsid w:val="2B693A6A"/>
    <w:rsid w:val="2B741E25"/>
    <w:rsid w:val="2C0A3B92"/>
    <w:rsid w:val="2C113FAE"/>
    <w:rsid w:val="2C143242"/>
    <w:rsid w:val="2C9D4994"/>
    <w:rsid w:val="2CA24D04"/>
    <w:rsid w:val="2D764055"/>
    <w:rsid w:val="2DB41503"/>
    <w:rsid w:val="2DEA4E6B"/>
    <w:rsid w:val="2E4425C8"/>
    <w:rsid w:val="2E513D20"/>
    <w:rsid w:val="2E936326"/>
    <w:rsid w:val="2F004253"/>
    <w:rsid w:val="2F4042D8"/>
    <w:rsid w:val="2F8F170E"/>
    <w:rsid w:val="30091ED3"/>
    <w:rsid w:val="30861210"/>
    <w:rsid w:val="30CF6D0E"/>
    <w:rsid w:val="30F322CC"/>
    <w:rsid w:val="31670366"/>
    <w:rsid w:val="317C2271"/>
    <w:rsid w:val="31C8025F"/>
    <w:rsid w:val="324861BA"/>
    <w:rsid w:val="333D216B"/>
    <w:rsid w:val="33533BE2"/>
    <w:rsid w:val="33AB27D7"/>
    <w:rsid w:val="34FB18BC"/>
    <w:rsid w:val="351F5D54"/>
    <w:rsid w:val="35276A3B"/>
    <w:rsid w:val="35852017"/>
    <w:rsid w:val="35A5114B"/>
    <w:rsid w:val="36287A15"/>
    <w:rsid w:val="36466FC3"/>
    <w:rsid w:val="3669724C"/>
    <w:rsid w:val="369D0E41"/>
    <w:rsid w:val="369D16A8"/>
    <w:rsid w:val="36E6402E"/>
    <w:rsid w:val="36E921E9"/>
    <w:rsid w:val="36F41F2F"/>
    <w:rsid w:val="36F735B6"/>
    <w:rsid w:val="37E10756"/>
    <w:rsid w:val="380312D6"/>
    <w:rsid w:val="392F0E3A"/>
    <w:rsid w:val="39810CF9"/>
    <w:rsid w:val="39C17A22"/>
    <w:rsid w:val="3A8D2191"/>
    <w:rsid w:val="3B977813"/>
    <w:rsid w:val="3BD615CB"/>
    <w:rsid w:val="3BE14E9B"/>
    <w:rsid w:val="3C5A79BE"/>
    <w:rsid w:val="3C6433A2"/>
    <w:rsid w:val="3C6B6094"/>
    <w:rsid w:val="3CB67EA9"/>
    <w:rsid w:val="3CC306E0"/>
    <w:rsid w:val="3D1F3C06"/>
    <w:rsid w:val="3D833F81"/>
    <w:rsid w:val="3DA025D2"/>
    <w:rsid w:val="3DFA4CB7"/>
    <w:rsid w:val="3E3E6F4A"/>
    <w:rsid w:val="3E424E88"/>
    <w:rsid w:val="3EDE715F"/>
    <w:rsid w:val="3F916C24"/>
    <w:rsid w:val="3FE165E3"/>
    <w:rsid w:val="40054EC3"/>
    <w:rsid w:val="40AE4385"/>
    <w:rsid w:val="40C34E74"/>
    <w:rsid w:val="40D36063"/>
    <w:rsid w:val="410D7F1E"/>
    <w:rsid w:val="411104BA"/>
    <w:rsid w:val="41B524A9"/>
    <w:rsid w:val="426B7877"/>
    <w:rsid w:val="42DC6FBA"/>
    <w:rsid w:val="431F0CD6"/>
    <w:rsid w:val="44483FBF"/>
    <w:rsid w:val="44503F8B"/>
    <w:rsid w:val="448127E1"/>
    <w:rsid w:val="449441E0"/>
    <w:rsid w:val="44E1472E"/>
    <w:rsid w:val="45510296"/>
    <w:rsid w:val="455F1513"/>
    <w:rsid w:val="45B22D78"/>
    <w:rsid w:val="45C86B9C"/>
    <w:rsid w:val="45E463D4"/>
    <w:rsid w:val="46184234"/>
    <w:rsid w:val="46D22816"/>
    <w:rsid w:val="46EA0372"/>
    <w:rsid w:val="46FA175A"/>
    <w:rsid w:val="472E7618"/>
    <w:rsid w:val="47342EBD"/>
    <w:rsid w:val="47935AED"/>
    <w:rsid w:val="47D2735D"/>
    <w:rsid w:val="485E3805"/>
    <w:rsid w:val="485E5F9F"/>
    <w:rsid w:val="48D801AF"/>
    <w:rsid w:val="48E5112C"/>
    <w:rsid w:val="49F66CDE"/>
    <w:rsid w:val="4A434BD6"/>
    <w:rsid w:val="4A677737"/>
    <w:rsid w:val="4B5E459C"/>
    <w:rsid w:val="4C1D4291"/>
    <w:rsid w:val="4C4E122E"/>
    <w:rsid w:val="4C764793"/>
    <w:rsid w:val="4CAA03CD"/>
    <w:rsid w:val="4CB23BE6"/>
    <w:rsid w:val="4D3B07F6"/>
    <w:rsid w:val="4D496C46"/>
    <w:rsid w:val="4D7B3310"/>
    <w:rsid w:val="4DCA21A1"/>
    <w:rsid w:val="4E282929"/>
    <w:rsid w:val="4E583DA5"/>
    <w:rsid w:val="4E7D2E9A"/>
    <w:rsid w:val="4E9800E4"/>
    <w:rsid w:val="4EC819BF"/>
    <w:rsid w:val="4F282B4A"/>
    <w:rsid w:val="4F683007"/>
    <w:rsid w:val="4FC05917"/>
    <w:rsid w:val="50234FEB"/>
    <w:rsid w:val="50704F7B"/>
    <w:rsid w:val="50A44745"/>
    <w:rsid w:val="50C5724C"/>
    <w:rsid w:val="5144434B"/>
    <w:rsid w:val="51C05850"/>
    <w:rsid w:val="51E209BF"/>
    <w:rsid w:val="52412038"/>
    <w:rsid w:val="524E6E83"/>
    <w:rsid w:val="5250134F"/>
    <w:rsid w:val="52735020"/>
    <w:rsid w:val="529357FE"/>
    <w:rsid w:val="5304192B"/>
    <w:rsid w:val="54241D0C"/>
    <w:rsid w:val="54644B38"/>
    <w:rsid w:val="54EC0C7A"/>
    <w:rsid w:val="55624938"/>
    <w:rsid w:val="556B44D1"/>
    <w:rsid w:val="5639431D"/>
    <w:rsid w:val="578E708D"/>
    <w:rsid w:val="57F416B4"/>
    <w:rsid w:val="586D3A24"/>
    <w:rsid w:val="589C061F"/>
    <w:rsid w:val="59230DA2"/>
    <w:rsid w:val="59233389"/>
    <w:rsid w:val="594C7F73"/>
    <w:rsid w:val="59A2633D"/>
    <w:rsid w:val="59E27C6A"/>
    <w:rsid w:val="59FB6E16"/>
    <w:rsid w:val="5AEF6C15"/>
    <w:rsid w:val="5AFB3401"/>
    <w:rsid w:val="5B0344B9"/>
    <w:rsid w:val="5B7D24CA"/>
    <w:rsid w:val="5BC53072"/>
    <w:rsid w:val="5BF50915"/>
    <w:rsid w:val="5C0F7E83"/>
    <w:rsid w:val="5C775F0C"/>
    <w:rsid w:val="5CDE148E"/>
    <w:rsid w:val="5CED01C4"/>
    <w:rsid w:val="5DAC7451"/>
    <w:rsid w:val="5DC038CA"/>
    <w:rsid w:val="5E6B687C"/>
    <w:rsid w:val="5E6E1B83"/>
    <w:rsid w:val="5E865F7B"/>
    <w:rsid w:val="5F1D1F65"/>
    <w:rsid w:val="5FA02CCC"/>
    <w:rsid w:val="5FC937AE"/>
    <w:rsid w:val="5FD26EF5"/>
    <w:rsid w:val="5FE77090"/>
    <w:rsid w:val="60466173"/>
    <w:rsid w:val="60D12F22"/>
    <w:rsid w:val="610D51F3"/>
    <w:rsid w:val="61274414"/>
    <w:rsid w:val="614E5046"/>
    <w:rsid w:val="61BA7DEB"/>
    <w:rsid w:val="62097264"/>
    <w:rsid w:val="621C2CBC"/>
    <w:rsid w:val="628C2A3A"/>
    <w:rsid w:val="629A4596"/>
    <w:rsid w:val="63365117"/>
    <w:rsid w:val="636C2E67"/>
    <w:rsid w:val="641614AA"/>
    <w:rsid w:val="644A3E24"/>
    <w:rsid w:val="647C4D5E"/>
    <w:rsid w:val="64CA269A"/>
    <w:rsid w:val="64EF19F4"/>
    <w:rsid w:val="64FF6C4F"/>
    <w:rsid w:val="65544A0E"/>
    <w:rsid w:val="66000882"/>
    <w:rsid w:val="66503158"/>
    <w:rsid w:val="6664256B"/>
    <w:rsid w:val="666E0F43"/>
    <w:rsid w:val="66D229E0"/>
    <w:rsid w:val="66D820E1"/>
    <w:rsid w:val="67466ADF"/>
    <w:rsid w:val="67735B33"/>
    <w:rsid w:val="67A90BD1"/>
    <w:rsid w:val="67B02AA3"/>
    <w:rsid w:val="67F70B8B"/>
    <w:rsid w:val="680D41FD"/>
    <w:rsid w:val="682F6926"/>
    <w:rsid w:val="68831B76"/>
    <w:rsid w:val="6894749C"/>
    <w:rsid w:val="69861D94"/>
    <w:rsid w:val="6A454A1D"/>
    <w:rsid w:val="6A7A124B"/>
    <w:rsid w:val="6A7C1EFE"/>
    <w:rsid w:val="6B0014B7"/>
    <w:rsid w:val="6B166B17"/>
    <w:rsid w:val="6B5930CB"/>
    <w:rsid w:val="6B8658CD"/>
    <w:rsid w:val="6BA6264B"/>
    <w:rsid w:val="6BC508D5"/>
    <w:rsid w:val="6C497F92"/>
    <w:rsid w:val="6C8E7612"/>
    <w:rsid w:val="6D36396A"/>
    <w:rsid w:val="6D8D2A05"/>
    <w:rsid w:val="6E5151FF"/>
    <w:rsid w:val="6E877BFC"/>
    <w:rsid w:val="6E9C68FC"/>
    <w:rsid w:val="6ED8032D"/>
    <w:rsid w:val="6FAE3DAD"/>
    <w:rsid w:val="6FC513FE"/>
    <w:rsid w:val="6FFE0C49"/>
    <w:rsid w:val="70413C56"/>
    <w:rsid w:val="706945BB"/>
    <w:rsid w:val="7125541D"/>
    <w:rsid w:val="71281B2F"/>
    <w:rsid w:val="71A85CE4"/>
    <w:rsid w:val="71BA4477"/>
    <w:rsid w:val="71E12002"/>
    <w:rsid w:val="73B45BC5"/>
    <w:rsid w:val="73CD3B63"/>
    <w:rsid w:val="74107E5F"/>
    <w:rsid w:val="7430029C"/>
    <w:rsid w:val="74382932"/>
    <w:rsid w:val="749E612F"/>
    <w:rsid w:val="74BA1821"/>
    <w:rsid w:val="761B2B23"/>
    <w:rsid w:val="7696630A"/>
    <w:rsid w:val="76A32C3B"/>
    <w:rsid w:val="77AC55D4"/>
    <w:rsid w:val="7855180A"/>
    <w:rsid w:val="787F23C4"/>
    <w:rsid w:val="78FA74BE"/>
    <w:rsid w:val="7916686C"/>
    <w:rsid w:val="79604C6F"/>
    <w:rsid w:val="79DE39E7"/>
    <w:rsid w:val="79EA6E80"/>
    <w:rsid w:val="7A3A50E2"/>
    <w:rsid w:val="7A6543BC"/>
    <w:rsid w:val="7A68102A"/>
    <w:rsid w:val="7B99714F"/>
    <w:rsid w:val="7C0D2DAD"/>
    <w:rsid w:val="7C6272C5"/>
    <w:rsid w:val="7C701782"/>
    <w:rsid w:val="7D1A5214"/>
    <w:rsid w:val="7D535788"/>
    <w:rsid w:val="7D563C05"/>
    <w:rsid w:val="7E10006F"/>
    <w:rsid w:val="7E526B4C"/>
    <w:rsid w:val="7EFC30CC"/>
    <w:rsid w:val="7FD31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eastAsia="黑体"/>
      <w:kern w:val="44"/>
      <w:sz w:val="28"/>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2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qFormat/>
    <w:uiPriority w:val="0"/>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FollowedHyperlink"/>
    <w:basedOn w:val="8"/>
    <w:qFormat/>
    <w:uiPriority w:val="0"/>
    <w:rPr>
      <w:color w:val="800080"/>
      <w:u w:val="single"/>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font21"/>
    <w:basedOn w:val="8"/>
    <w:qFormat/>
    <w:uiPriority w:val="0"/>
    <w:rPr>
      <w:rFonts w:hint="eastAsia" w:ascii="宋体" w:hAnsi="宋体" w:eastAsia="宋体" w:cs="宋体"/>
      <w:color w:val="000000"/>
      <w:sz w:val="24"/>
      <w:szCs w:val="24"/>
      <w:u w:val="none"/>
    </w:rPr>
  </w:style>
  <w:style w:type="character" w:customStyle="1" w:styleId="14">
    <w:name w:val="font01"/>
    <w:basedOn w:val="8"/>
    <w:qFormat/>
    <w:uiPriority w:val="0"/>
    <w:rPr>
      <w:rFonts w:hint="default" w:ascii="Arial" w:hAnsi="Arial" w:cs="Arial"/>
      <w:color w:val="000000"/>
      <w:sz w:val="24"/>
      <w:szCs w:val="24"/>
      <w:u w:val="none"/>
    </w:rPr>
  </w:style>
  <w:style w:type="character" w:customStyle="1" w:styleId="15">
    <w:name w:val="t"/>
    <w:basedOn w:val="8"/>
    <w:qFormat/>
    <w:uiPriority w:val="0"/>
  </w:style>
  <w:style w:type="paragraph" w:customStyle="1" w:styleId="16">
    <w:name w:val="Table Paragraph"/>
    <w:basedOn w:val="1"/>
    <w:qFormat/>
    <w:uiPriority w:val="1"/>
  </w:style>
  <w:style w:type="paragraph" w:styleId="17">
    <w:name w:val="No Spacing"/>
    <w:qFormat/>
    <w:uiPriority w:val="1"/>
    <w:pPr>
      <w:widowControl w:val="0"/>
      <w:jc w:val="both"/>
    </w:pPr>
    <w:rPr>
      <w:rFonts w:ascii="Calibri" w:hAnsi="Calibri" w:eastAsiaTheme="minorEastAsia" w:cstheme="minorBidi"/>
      <w:kern w:val="2"/>
      <w:sz w:val="21"/>
      <w:szCs w:val="22"/>
      <w:lang w:val="en-US" w:eastAsia="zh-CN" w:bidi="ar-SA"/>
    </w:rPr>
  </w:style>
  <w:style w:type="paragraph" w:customStyle="1" w:styleId="18">
    <w:name w:val="缩进正文1"/>
    <w:basedOn w:val="1"/>
    <w:qFormat/>
    <w:uiPriority w:val="0"/>
    <w:pPr>
      <w:ind w:left="874" w:hanging="420"/>
    </w:pPr>
    <w:rPr>
      <w:rFonts w:ascii="宋体"/>
      <w:szCs w:val="21"/>
    </w:rPr>
  </w:style>
  <w:style w:type="paragraph" w:customStyle="1" w:styleId="1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0">
    <w:name w:val="批注框文本 Char"/>
    <w:basedOn w:val="8"/>
    <w:link w:val="3"/>
    <w:qFormat/>
    <w:uiPriority w:val="0"/>
    <w:rPr>
      <w:rFonts w:ascii="Calibri" w:hAnsi="Calibri" w:eastAsia="宋体" w:cs="Times New Roman"/>
      <w:kern w:val="2"/>
      <w:sz w:val="18"/>
      <w:szCs w:val="18"/>
    </w:rPr>
  </w:style>
  <w:style w:type="character" w:customStyle="1" w:styleId="21">
    <w:name w:val="font41"/>
    <w:qFormat/>
    <w:uiPriority w:val="0"/>
    <w:rPr>
      <w:rFonts w:hint="eastAsia" w:ascii="宋体" w:hAnsi="宋体" w:eastAsia="宋体" w:cs="宋体"/>
      <w:color w:val="000000"/>
      <w:sz w:val="20"/>
      <w:szCs w:val="20"/>
      <w:u w:val="none"/>
    </w:rPr>
  </w:style>
  <w:style w:type="character" w:customStyle="1" w:styleId="22">
    <w:name w:val="font51"/>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4720</Words>
  <Characters>26905</Characters>
  <Lines>224</Lines>
  <Paragraphs>63</Paragraphs>
  <TotalTime>0</TotalTime>
  <ScaleCrop>false</ScaleCrop>
  <LinksUpToDate>false</LinksUpToDate>
  <CharactersWithSpaces>31562</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hunjun</dc:creator>
  <cp:lastModifiedBy>wz</cp:lastModifiedBy>
  <dcterms:modified xsi:type="dcterms:W3CDTF">2018-11-22T01:46:29Z</dcterms:modified>
  <cp:revision>294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