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attachedToolbars" PartName="/word/attachedToolbars.bin"/>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468" w:after="312"/>
        <w:jc w:val="center"/>
        <w:rPr>
          <w:rFonts w:ascii="宋体" w:hAnsi="宋体" w:eastAsia="黑体"/>
          <w:sz w:val="56"/>
          <w:szCs w:val="56"/>
        </w:rPr>
      </w:pPr>
      <w:bookmarkStart w:id="0" w:name="_Toc435656404"/>
      <w:bookmarkEnd w:id="0"/>
      <w:bookmarkStart w:id="1" w:name="_Toc29251"/>
      <w:bookmarkStart w:id="2" w:name="_Toc422515395"/>
      <w:bookmarkStart w:id="3" w:name="_Toc435618810"/>
      <w:bookmarkStart w:id="4" w:name="_Toc417901116"/>
    </w:p>
    <w:bookmarkEnd w:id="1"/>
    <w:p>
      <w:pPr>
        <w:ind w:right="-6" w:rightChars="-3"/>
        <w:jc w:val="center"/>
        <w:rPr>
          <w:rFonts w:ascii="仿宋" w:hAnsi="仿宋" w:eastAsia="仿宋"/>
          <w:b/>
          <w:bCs/>
          <w:sz w:val="72"/>
          <w:szCs w:val="72"/>
        </w:rPr>
      </w:pPr>
      <w:r>
        <w:rPr>
          <w:rFonts w:hint="eastAsia" w:ascii="仿宋" w:hAnsi="仿宋" w:eastAsia="仿宋" w:cs="仿宋"/>
          <w:b/>
          <w:bCs/>
          <w:sz w:val="72"/>
          <w:szCs w:val="72"/>
        </w:rPr>
        <w:t>国家车联网产业标准体系</w:t>
      </w:r>
    </w:p>
    <w:p>
      <w:pPr>
        <w:ind w:right="-6" w:rightChars="-3"/>
        <w:jc w:val="center"/>
        <w:rPr>
          <w:rFonts w:ascii="仿宋" w:hAnsi="仿宋" w:eastAsia="仿宋"/>
          <w:b/>
          <w:bCs/>
          <w:sz w:val="72"/>
          <w:szCs w:val="72"/>
        </w:rPr>
      </w:pPr>
      <w:r>
        <w:rPr>
          <w:rFonts w:hint="eastAsia" w:ascii="仿宋" w:hAnsi="仿宋" w:eastAsia="仿宋" w:cs="仿宋"/>
          <w:b/>
          <w:bCs/>
          <w:sz w:val="72"/>
          <w:szCs w:val="72"/>
        </w:rPr>
        <w:t>建设指南</w:t>
      </w:r>
    </w:p>
    <w:p>
      <w:pPr>
        <w:ind w:right="-6" w:rightChars="-3"/>
        <w:jc w:val="center"/>
        <w:rPr>
          <w:rFonts w:ascii="仿宋" w:hAnsi="仿宋" w:eastAsia="仿宋"/>
          <w:b/>
          <w:bCs/>
          <w:sz w:val="72"/>
          <w:szCs w:val="72"/>
        </w:rPr>
      </w:pPr>
    </w:p>
    <w:p>
      <w:pPr>
        <w:ind w:right="-6" w:rightChars="-3"/>
        <w:jc w:val="center"/>
        <w:rPr>
          <w:rFonts w:ascii="仿宋" w:hAnsi="仿宋" w:eastAsia="仿宋"/>
          <w:b/>
          <w:bCs/>
          <w:sz w:val="44"/>
          <w:szCs w:val="44"/>
        </w:rPr>
      </w:pPr>
      <w:r>
        <w:rPr>
          <w:rFonts w:hint="eastAsia" w:ascii="仿宋" w:hAnsi="仿宋" w:eastAsia="仿宋" w:cs="仿宋"/>
          <w:b/>
          <w:bCs/>
          <w:sz w:val="44"/>
          <w:szCs w:val="44"/>
        </w:rPr>
        <w:t>（信息通信）</w:t>
      </w:r>
    </w:p>
    <w:p>
      <w:pPr>
        <w:ind w:right="-6" w:rightChars="-3" w:firstLine="641"/>
        <w:jc w:val="both"/>
        <w:rPr>
          <w:rFonts w:ascii="仿宋" w:hAnsi="仿宋" w:eastAsia="仿宋"/>
          <w:sz w:val="44"/>
          <w:szCs w:val="44"/>
        </w:rPr>
      </w:pPr>
    </w:p>
    <w:p>
      <w:pPr>
        <w:ind w:right="-6" w:rightChars="-3"/>
        <w:jc w:val="center"/>
        <w:rPr>
          <w:rFonts w:ascii="仿宋" w:hAnsi="仿宋" w:eastAsia="仿宋"/>
          <w:b/>
          <w:bCs/>
          <w:sz w:val="36"/>
          <w:szCs w:val="36"/>
        </w:rPr>
      </w:pPr>
      <w:r>
        <w:rPr>
          <w:rFonts w:hint="eastAsia" w:ascii="仿宋" w:hAnsi="仿宋" w:eastAsia="仿宋" w:cs="仿宋"/>
          <w:b/>
          <w:bCs/>
          <w:sz w:val="36"/>
          <w:szCs w:val="36"/>
        </w:rPr>
        <w:t>（</w:t>
      </w:r>
      <w:r>
        <w:rPr>
          <w:rFonts w:ascii="仿宋" w:hAnsi="仿宋" w:eastAsia="仿宋" w:cs="仿宋"/>
          <w:b/>
          <w:bCs/>
          <w:sz w:val="36"/>
          <w:szCs w:val="36"/>
        </w:rPr>
        <w:t>2017</w:t>
      </w:r>
      <w:r>
        <w:rPr>
          <w:rFonts w:hint="eastAsia" w:ascii="仿宋" w:hAnsi="仿宋" w:eastAsia="仿宋" w:cs="仿宋"/>
          <w:b/>
          <w:bCs/>
          <w:sz w:val="36"/>
          <w:szCs w:val="36"/>
        </w:rPr>
        <w:t>年）</w:t>
      </w:r>
    </w:p>
    <w:p>
      <w:pPr>
        <w:spacing w:before="468" w:after="312"/>
        <w:jc w:val="center"/>
        <w:rPr>
          <w:rFonts w:ascii="宋体" w:hAnsi="宋体" w:eastAsia="仿宋_GB2312"/>
          <w:color w:val="FF0000"/>
          <w:sz w:val="44"/>
          <w:szCs w:val="44"/>
        </w:rPr>
      </w:pPr>
      <w:r>
        <w:rPr>
          <w:rFonts w:hint="eastAsia" w:ascii="仿宋" w:hAnsi="仿宋" w:eastAsia="仿宋" w:cs="仿宋"/>
          <w:b/>
          <w:bCs/>
          <w:sz w:val="36"/>
          <w:szCs w:val="36"/>
        </w:rPr>
        <w:t>（征求意见稿）</w:t>
      </w:r>
    </w:p>
    <w:p>
      <w:pPr>
        <w:spacing w:before="468" w:after="312"/>
        <w:jc w:val="center"/>
        <w:rPr>
          <w:rFonts w:ascii="宋体" w:hAnsi="宋体" w:eastAsia="仿宋_GB2312"/>
          <w:sz w:val="32"/>
          <w:szCs w:val="32"/>
        </w:rPr>
      </w:pPr>
    </w:p>
    <w:p>
      <w:pPr>
        <w:spacing w:before="468" w:after="312"/>
        <w:jc w:val="center"/>
        <w:rPr>
          <w:rFonts w:ascii="宋体" w:hAnsi="宋体" w:eastAsia="仿宋_GB2312"/>
          <w:sz w:val="32"/>
          <w:szCs w:val="32"/>
        </w:rPr>
      </w:pPr>
    </w:p>
    <w:p>
      <w:pPr>
        <w:spacing w:before="468" w:after="312"/>
        <w:jc w:val="center"/>
        <w:rPr>
          <w:rFonts w:ascii="宋体" w:hAnsi="宋体" w:eastAsia="仿宋_GB2312"/>
          <w:sz w:val="32"/>
          <w:szCs w:val="32"/>
        </w:rPr>
      </w:pPr>
    </w:p>
    <w:p>
      <w:pPr>
        <w:spacing w:before="468" w:after="312"/>
        <w:jc w:val="center"/>
        <w:rPr>
          <w:rFonts w:ascii="宋体" w:hAnsi="宋体" w:eastAsia="仿宋_GB2312"/>
          <w:sz w:val="32"/>
          <w:szCs w:val="32"/>
        </w:rPr>
      </w:pPr>
    </w:p>
    <w:p>
      <w:pPr>
        <w:pStyle w:val="16"/>
        <w:tabs>
          <w:tab w:val="right" w:leader="dot" w:pos="8296"/>
        </w:tabs>
        <w:jc w:val="center"/>
        <w:rPr>
          <w:rFonts w:ascii="宋体" w:hAnsi="宋体" w:eastAsia="黑体"/>
          <w:sz w:val="32"/>
          <w:szCs w:val="32"/>
        </w:rPr>
        <w:sectPr>
          <w:footerReference r:id="rId4" w:type="default"/>
          <w:pgSz w:w="11906" w:h="16838"/>
          <w:pgMar w:top="1440" w:right="1800" w:bottom="1440" w:left="1800" w:header="851" w:footer="992" w:gutter="0"/>
          <w:pgNumType w:start="1"/>
          <w:cols w:space="720" w:num="1"/>
          <w:docGrid w:type="linesAndChars" w:linePitch="312" w:charSpace="0"/>
        </w:sectPr>
      </w:pP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bookmarkStart w:id="5" w:name="_Toc423594857"/>
      <w:bookmarkStart w:id="6" w:name="_Toc423949872"/>
      <w:bookmarkStart w:id="7" w:name="_Toc423950280"/>
      <w:bookmarkStart w:id="8" w:name="_Toc424054721"/>
      <w:bookmarkStart w:id="9" w:name="_Toc424895175"/>
      <w:bookmarkStart w:id="10" w:name="_Toc424895844"/>
      <w:bookmarkStart w:id="11" w:name="_Toc424989607"/>
      <w:bookmarkStart w:id="12" w:name="_Toc432240284"/>
      <w:bookmarkStart w:id="13" w:name="_Toc435656339"/>
      <w:bookmarkStart w:id="14" w:name="_Toc423556869"/>
      <w:bookmarkStart w:id="15" w:name="_Toc422814412"/>
      <w:bookmarkStart w:id="16" w:name="_Toc423593786"/>
    </w:p>
    <w:p>
      <w:pPr>
        <w:pStyle w:val="16"/>
        <w:tabs>
          <w:tab w:val="right" w:leader="dot" w:pos="8296"/>
        </w:tabs>
        <w:jc w:val="center"/>
        <w:rPr>
          <w:rFonts w:ascii="宋体" w:hAnsi="宋体" w:eastAsia="黑体"/>
          <w:sz w:val="32"/>
          <w:szCs w:val="32"/>
        </w:rPr>
      </w:pPr>
    </w:p>
    <w:p>
      <w:pPr>
        <w:pStyle w:val="16"/>
        <w:tabs>
          <w:tab w:val="right" w:leader="dot" w:pos="8296"/>
        </w:tabs>
        <w:jc w:val="center"/>
        <w:rPr>
          <w:rFonts w:ascii="黑体" w:hAnsi="黑体" w:eastAsia="黑体" w:cs="黑体"/>
          <w:sz w:val="36"/>
          <w:szCs w:val="36"/>
          <w:lang w:val="zh-CN"/>
        </w:rPr>
      </w:pPr>
      <w:r>
        <w:rPr>
          <w:rFonts w:hint="eastAsia" w:ascii="黑体" w:hAnsi="黑体" w:eastAsia="黑体" w:cs="黑体"/>
          <w:sz w:val="36"/>
          <w:szCs w:val="36"/>
          <w:lang w:val="zh-CN"/>
        </w:rPr>
        <w:t>目</w:t>
      </w:r>
      <w:r>
        <w:rPr>
          <w:rFonts w:ascii="黑体" w:hAnsi="黑体" w:eastAsia="黑体" w:cs="黑体"/>
          <w:sz w:val="36"/>
          <w:szCs w:val="36"/>
          <w:lang w:val="zh-CN"/>
        </w:rPr>
        <w:t xml:space="preserve"> </w:t>
      </w:r>
      <w:r>
        <w:rPr>
          <w:rFonts w:hint="eastAsia" w:ascii="黑体" w:hAnsi="黑体" w:eastAsia="黑体" w:cs="黑体"/>
          <w:sz w:val="36"/>
          <w:szCs w:val="36"/>
          <w:lang w:val="zh-CN"/>
        </w:rPr>
        <w:t>录</w:t>
      </w:r>
      <w:bookmarkEnd w:id="5"/>
      <w:bookmarkEnd w:id="6"/>
      <w:bookmarkEnd w:id="7"/>
      <w:bookmarkEnd w:id="8"/>
      <w:bookmarkEnd w:id="9"/>
      <w:bookmarkEnd w:id="10"/>
      <w:bookmarkEnd w:id="11"/>
      <w:bookmarkEnd w:id="12"/>
      <w:bookmarkEnd w:id="13"/>
      <w:bookmarkEnd w:id="14"/>
      <w:bookmarkEnd w:id="15"/>
      <w:bookmarkEnd w:id="16"/>
    </w:p>
    <w:p>
      <w:pPr>
        <w:rPr>
          <w:lang w:val="zh-CN"/>
        </w:rPr>
      </w:pPr>
    </w:p>
    <w:p>
      <w:pPr>
        <w:rPr>
          <w:lang w:val="zh-CN"/>
        </w:rPr>
      </w:pPr>
    </w:p>
    <w:p>
      <w:pPr>
        <w:rPr>
          <w:lang w:val="zh-CN"/>
        </w:rPr>
      </w:pPr>
    </w:p>
    <w:p>
      <w:pPr>
        <w:pStyle w:val="16"/>
        <w:tabs>
          <w:tab w:val="left" w:pos="840"/>
          <w:tab w:val="right" w:leader="dot" w:pos="8296"/>
        </w:tabs>
        <w:rPr>
          <w:rFonts w:ascii="Calibri" w:hAnsi="Calibri" w:eastAsia="宋体" w:cs="黑体"/>
          <w:sz w:val="32"/>
          <w:szCs w:val="32"/>
        </w:rPr>
      </w:pPr>
      <w:r>
        <w:rPr>
          <w:rFonts w:ascii="宋体" w:hAnsi="宋体" w:cs="宋体"/>
          <w:sz w:val="32"/>
          <w:szCs w:val="32"/>
        </w:rPr>
        <w:fldChar w:fldCharType="begin"/>
      </w:r>
      <w:r>
        <w:rPr>
          <w:rFonts w:ascii="宋体" w:hAnsi="宋体" w:cs="宋体"/>
          <w:sz w:val="32"/>
          <w:szCs w:val="32"/>
        </w:rPr>
        <w:instrText xml:space="preserve"> TOC \o "1-3" \h \z \u </w:instrText>
      </w:r>
      <w:r>
        <w:rPr>
          <w:rFonts w:ascii="宋体" w:hAnsi="宋体" w:cs="宋体"/>
          <w:sz w:val="32"/>
          <w:szCs w:val="32"/>
        </w:rPr>
        <w:fldChar w:fldCharType="separate"/>
      </w:r>
      <w:r>
        <w:fldChar w:fldCharType="begin"/>
      </w:r>
      <w:r>
        <w:instrText xml:space="preserve"> HYPERLINK \l "_Toc485375018" </w:instrText>
      </w:r>
      <w:r>
        <w:fldChar w:fldCharType="separate"/>
      </w:r>
      <w:r>
        <w:rPr>
          <w:rStyle w:val="24"/>
          <w:rFonts w:hint="eastAsia" w:ascii="黑体" w:hAnsi="黑体" w:eastAsia="黑体" w:cs="黑体"/>
          <w:sz w:val="32"/>
          <w:szCs w:val="32"/>
        </w:rPr>
        <w:t>一、</w:t>
      </w:r>
      <w:r>
        <w:rPr>
          <w:rFonts w:ascii="Calibri" w:hAnsi="Calibri" w:eastAsia="宋体" w:cs="黑体"/>
          <w:sz w:val="32"/>
          <w:szCs w:val="32"/>
        </w:rPr>
        <w:tab/>
      </w:r>
      <w:r>
        <w:rPr>
          <w:rStyle w:val="24"/>
          <w:rFonts w:hint="eastAsia" w:ascii="黑体" w:hAnsi="黑体" w:eastAsia="黑体" w:cs="黑体"/>
          <w:sz w:val="32"/>
          <w:szCs w:val="32"/>
        </w:rPr>
        <w:t>车联网产业</w:t>
      </w:r>
      <w:r>
        <w:rPr>
          <w:rStyle w:val="24"/>
          <w:rFonts w:hint="eastAsia" w:ascii="黑体" w:hAnsi="黑体" w:eastAsia="黑体" w:cs="黑体"/>
          <w:sz w:val="32"/>
          <w:szCs w:val="32"/>
          <w:lang w:eastAsia="zh-CN"/>
        </w:rPr>
        <w:t>（</w:t>
      </w:r>
      <w:r>
        <w:rPr>
          <w:rStyle w:val="24"/>
          <w:rFonts w:hint="eastAsia" w:ascii="黑体" w:hAnsi="黑体" w:eastAsia="黑体" w:cs="黑体"/>
          <w:sz w:val="32"/>
          <w:szCs w:val="32"/>
        </w:rPr>
        <w:t>信息通信</w:t>
      </w:r>
      <w:r>
        <w:rPr>
          <w:rStyle w:val="24"/>
          <w:rFonts w:hint="eastAsia" w:ascii="黑体" w:hAnsi="黑体" w:eastAsia="黑体" w:cs="黑体"/>
          <w:sz w:val="32"/>
          <w:szCs w:val="32"/>
          <w:lang w:eastAsia="zh-CN"/>
        </w:rPr>
        <w:t>）</w:t>
      </w:r>
      <w:r>
        <w:rPr>
          <w:rStyle w:val="24"/>
          <w:rFonts w:hint="eastAsia" w:ascii="黑体" w:hAnsi="黑体" w:eastAsia="黑体" w:cs="黑体"/>
          <w:sz w:val="32"/>
          <w:szCs w:val="32"/>
        </w:rPr>
        <w:t>标准体系总体要求</w:t>
      </w:r>
      <w:r>
        <w:rPr>
          <w:sz w:val="32"/>
          <w:szCs w:val="32"/>
        </w:rPr>
        <w:tab/>
      </w:r>
      <w:r>
        <w:rPr>
          <w:sz w:val="32"/>
          <w:szCs w:val="32"/>
        </w:rPr>
        <w:fldChar w:fldCharType="begin"/>
      </w:r>
      <w:r>
        <w:rPr>
          <w:sz w:val="32"/>
          <w:szCs w:val="32"/>
        </w:rPr>
        <w:instrText xml:space="preserve"> PAGEREF _Toc485375018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16"/>
        <w:tabs>
          <w:tab w:val="right" w:leader="dot" w:pos="8296"/>
        </w:tabs>
        <w:rPr>
          <w:rFonts w:ascii="Calibri" w:hAnsi="Calibri" w:eastAsia="宋体" w:cs="黑体"/>
          <w:sz w:val="32"/>
          <w:szCs w:val="32"/>
        </w:rPr>
      </w:pPr>
      <w:r>
        <w:fldChar w:fldCharType="begin"/>
      </w:r>
      <w:r>
        <w:instrText xml:space="preserve">HYPERLINK  \l "_Toc485375019" </w:instrText>
      </w:r>
      <w:r>
        <w:fldChar w:fldCharType="separate"/>
      </w:r>
      <w:r>
        <w:rPr>
          <w:rStyle w:val="24"/>
          <w:rFonts w:hint="eastAsia" w:ascii="楷体" w:hAnsi="楷体" w:eastAsia="楷体" w:cs="仿宋"/>
          <w:sz w:val="32"/>
          <w:szCs w:val="32"/>
        </w:rPr>
        <w:t>（一）指导思想</w:t>
      </w:r>
      <w:r>
        <w:rPr>
          <w:sz w:val="32"/>
          <w:szCs w:val="32"/>
        </w:rPr>
        <w:tab/>
      </w:r>
      <w:r>
        <w:rPr>
          <w:sz w:val="32"/>
          <w:szCs w:val="32"/>
        </w:rPr>
        <w:fldChar w:fldCharType="begin"/>
      </w:r>
      <w:r>
        <w:rPr>
          <w:sz w:val="32"/>
          <w:szCs w:val="32"/>
        </w:rPr>
        <w:instrText xml:space="preserve"> PAGEREF _Toc485375019 \h </w:instrText>
      </w:r>
      <w:r>
        <w:rPr>
          <w:sz w:val="32"/>
          <w:szCs w:val="32"/>
        </w:rPr>
        <w:fldChar w:fldCharType="separate"/>
      </w:r>
      <w:r>
        <w:rPr>
          <w:sz w:val="32"/>
          <w:szCs w:val="32"/>
        </w:rPr>
        <w:t>3</w:t>
      </w:r>
      <w:r>
        <w:rPr>
          <w:sz w:val="32"/>
          <w:szCs w:val="32"/>
        </w:rPr>
        <w:fldChar w:fldCharType="end"/>
      </w:r>
      <w:r>
        <w:fldChar w:fldCharType="end"/>
      </w:r>
    </w:p>
    <w:p>
      <w:pPr>
        <w:pStyle w:val="16"/>
        <w:tabs>
          <w:tab w:val="right" w:leader="dot" w:pos="8296"/>
        </w:tabs>
        <w:rPr>
          <w:rFonts w:ascii="Calibri" w:hAnsi="Calibri" w:eastAsia="宋体" w:cs="黑体"/>
          <w:sz w:val="32"/>
          <w:szCs w:val="32"/>
        </w:rPr>
      </w:pPr>
      <w:r>
        <w:fldChar w:fldCharType="begin"/>
      </w:r>
      <w:r>
        <w:instrText xml:space="preserve">HYPERLINK  \l "_Toc485375020" </w:instrText>
      </w:r>
      <w:r>
        <w:fldChar w:fldCharType="separate"/>
      </w:r>
      <w:r>
        <w:rPr>
          <w:rStyle w:val="24"/>
          <w:rFonts w:hint="eastAsia" w:ascii="楷体" w:hAnsi="楷体" w:eastAsia="楷体" w:cs="仿宋"/>
          <w:sz w:val="32"/>
          <w:szCs w:val="32"/>
        </w:rPr>
        <w:t>（二）基本原则</w:t>
      </w:r>
      <w:r>
        <w:rPr>
          <w:sz w:val="32"/>
          <w:szCs w:val="32"/>
        </w:rPr>
        <w:tab/>
      </w:r>
      <w:r>
        <w:rPr>
          <w:sz w:val="32"/>
          <w:szCs w:val="32"/>
        </w:rPr>
        <w:fldChar w:fldCharType="begin"/>
      </w:r>
      <w:r>
        <w:rPr>
          <w:sz w:val="32"/>
          <w:szCs w:val="32"/>
        </w:rPr>
        <w:instrText xml:space="preserve"> PAGEREF _Toc485375020 \h </w:instrText>
      </w:r>
      <w:r>
        <w:rPr>
          <w:sz w:val="32"/>
          <w:szCs w:val="32"/>
        </w:rPr>
        <w:fldChar w:fldCharType="separate"/>
      </w:r>
      <w:r>
        <w:rPr>
          <w:sz w:val="32"/>
          <w:szCs w:val="32"/>
        </w:rPr>
        <w:t>3</w:t>
      </w:r>
      <w:r>
        <w:rPr>
          <w:sz w:val="32"/>
          <w:szCs w:val="32"/>
        </w:rPr>
        <w:fldChar w:fldCharType="end"/>
      </w:r>
      <w:r>
        <w:fldChar w:fldCharType="end"/>
      </w:r>
    </w:p>
    <w:p>
      <w:pPr>
        <w:pStyle w:val="16"/>
        <w:tabs>
          <w:tab w:val="right" w:leader="dot" w:pos="8296"/>
        </w:tabs>
        <w:rPr>
          <w:rFonts w:ascii="Calibri" w:hAnsi="Calibri" w:eastAsia="宋体" w:cs="黑体"/>
          <w:sz w:val="32"/>
          <w:szCs w:val="32"/>
        </w:rPr>
      </w:pPr>
      <w:r>
        <w:fldChar w:fldCharType="begin"/>
      </w:r>
      <w:r>
        <w:instrText xml:space="preserve">HYPERLINK  \l "_Toc485375021" </w:instrText>
      </w:r>
      <w:r>
        <w:fldChar w:fldCharType="separate"/>
      </w:r>
      <w:r>
        <w:rPr>
          <w:rStyle w:val="24"/>
          <w:rFonts w:hint="eastAsia" w:ascii="楷体" w:hAnsi="楷体" w:eastAsia="楷体" w:cs="仿宋"/>
          <w:sz w:val="32"/>
          <w:szCs w:val="32"/>
        </w:rPr>
        <w:t>（三）建设目标</w:t>
      </w:r>
      <w:r>
        <w:rPr>
          <w:sz w:val="32"/>
          <w:szCs w:val="32"/>
        </w:rPr>
        <w:tab/>
      </w:r>
      <w:r>
        <w:rPr>
          <w:sz w:val="32"/>
          <w:szCs w:val="32"/>
        </w:rPr>
        <w:fldChar w:fldCharType="begin"/>
      </w:r>
      <w:r>
        <w:rPr>
          <w:sz w:val="32"/>
          <w:szCs w:val="32"/>
        </w:rPr>
        <w:instrText xml:space="preserve"> PAGEREF _Toc485375021 \h </w:instrText>
      </w:r>
      <w:r>
        <w:rPr>
          <w:sz w:val="32"/>
          <w:szCs w:val="32"/>
        </w:rPr>
        <w:fldChar w:fldCharType="separate"/>
      </w:r>
      <w:r>
        <w:rPr>
          <w:sz w:val="32"/>
          <w:szCs w:val="32"/>
        </w:rPr>
        <w:t>4</w:t>
      </w:r>
      <w:r>
        <w:rPr>
          <w:sz w:val="32"/>
          <w:szCs w:val="32"/>
        </w:rPr>
        <w:fldChar w:fldCharType="end"/>
      </w:r>
      <w:r>
        <w:fldChar w:fldCharType="end"/>
      </w:r>
    </w:p>
    <w:p>
      <w:pPr>
        <w:pStyle w:val="16"/>
        <w:tabs>
          <w:tab w:val="left" w:pos="840"/>
          <w:tab w:val="right" w:leader="dot" w:pos="8296"/>
        </w:tabs>
        <w:rPr>
          <w:rFonts w:ascii="Calibri" w:hAnsi="Calibri" w:eastAsia="宋体" w:cs="黑体"/>
          <w:sz w:val="32"/>
          <w:szCs w:val="32"/>
        </w:rPr>
      </w:pPr>
      <w:r>
        <w:fldChar w:fldCharType="begin"/>
      </w:r>
      <w:r>
        <w:instrText xml:space="preserve"> HYPERLINK \l "_Toc485375022" </w:instrText>
      </w:r>
      <w:r>
        <w:fldChar w:fldCharType="separate"/>
      </w:r>
      <w:r>
        <w:rPr>
          <w:rStyle w:val="24"/>
          <w:rFonts w:hint="eastAsia" w:ascii="黑体" w:hAnsi="黑体" w:eastAsia="黑体" w:cs="黑体"/>
          <w:sz w:val="32"/>
          <w:szCs w:val="32"/>
        </w:rPr>
        <w:t>二、</w:t>
      </w:r>
      <w:r>
        <w:rPr>
          <w:rFonts w:ascii="Calibri" w:hAnsi="Calibri" w:eastAsia="宋体" w:cs="黑体"/>
          <w:sz w:val="32"/>
          <w:szCs w:val="32"/>
        </w:rPr>
        <w:tab/>
      </w:r>
      <w:r>
        <w:rPr>
          <w:rStyle w:val="24"/>
          <w:rFonts w:hint="eastAsia" w:ascii="黑体" w:hAnsi="黑体" w:eastAsia="黑体" w:cs="黑体"/>
          <w:sz w:val="32"/>
          <w:szCs w:val="32"/>
        </w:rPr>
        <w:t>车联网产业</w:t>
      </w:r>
      <w:r>
        <w:rPr>
          <w:rStyle w:val="24"/>
          <w:rFonts w:hint="eastAsia" w:ascii="黑体" w:hAnsi="黑体" w:eastAsia="黑体" w:cs="黑体"/>
          <w:sz w:val="32"/>
          <w:szCs w:val="32"/>
          <w:lang w:eastAsia="zh-CN"/>
        </w:rPr>
        <w:t>（</w:t>
      </w:r>
      <w:r>
        <w:rPr>
          <w:rStyle w:val="24"/>
          <w:rFonts w:hint="eastAsia" w:ascii="黑体" w:hAnsi="黑体" w:eastAsia="黑体" w:cs="黑体"/>
          <w:sz w:val="32"/>
          <w:szCs w:val="32"/>
        </w:rPr>
        <w:t>信息通信</w:t>
      </w:r>
      <w:r>
        <w:rPr>
          <w:rStyle w:val="24"/>
          <w:rFonts w:hint="eastAsia" w:ascii="黑体" w:hAnsi="黑体" w:eastAsia="黑体" w:cs="黑体"/>
          <w:sz w:val="32"/>
          <w:szCs w:val="32"/>
          <w:lang w:eastAsia="zh-CN"/>
        </w:rPr>
        <w:t>）</w:t>
      </w:r>
      <w:r>
        <w:rPr>
          <w:rStyle w:val="24"/>
          <w:rFonts w:hint="eastAsia" w:ascii="黑体" w:hAnsi="黑体" w:eastAsia="黑体" w:cs="黑体"/>
          <w:sz w:val="32"/>
          <w:szCs w:val="32"/>
        </w:rPr>
        <w:t>标准体系建设思路</w:t>
      </w:r>
      <w:r>
        <w:rPr>
          <w:sz w:val="32"/>
          <w:szCs w:val="32"/>
        </w:rPr>
        <w:tab/>
      </w:r>
      <w:r>
        <w:rPr>
          <w:sz w:val="32"/>
          <w:szCs w:val="32"/>
        </w:rPr>
        <w:fldChar w:fldCharType="begin"/>
      </w:r>
      <w:r>
        <w:rPr>
          <w:sz w:val="32"/>
          <w:szCs w:val="32"/>
        </w:rPr>
        <w:instrText xml:space="preserve"> PAGEREF _Toc485375022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16"/>
        <w:tabs>
          <w:tab w:val="right" w:leader="dot" w:pos="8296"/>
        </w:tabs>
        <w:rPr>
          <w:rFonts w:ascii="Calibri" w:hAnsi="Calibri" w:eastAsia="宋体" w:cs="黑体"/>
          <w:sz w:val="32"/>
          <w:szCs w:val="32"/>
        </w:rPr>
      </w:pPr>
      <w:r>
        <w:fldChar w:fldCharType="begin"/>
      </w:r>
      <w:r>
        <w:instrText xml:space="preserve">HYPERLINK  \l "_Toc485375023" </w:instrText>
      </w:r>
      <w:r>
        <w:fldChar w:fldCharType="separate"/>
      </w:r>
      <w:r>
        <w:rPr>
          <w:rStyle w:val="24"/>
          <w:rFonts w:hint="eastAsia" w:ascii="楷体" w:hAnsi="楷体" w:eastAsia="楷体" w:cs="仿宋"/>
          <w:sz w:val="32"/>
          <w:szCs w:val="32"/>
        </w:rPr>
        <w:t>（一）建设思路</w:t>
      </w:r>
      <w:r>
        <w:rPr>
          <w:sz w:val="32"/>
          <w:szCs w:val="32"/>
        </w:rPr>
        <w:tab/>
      </w:r>
      <w:r>
        <w:rPr>
          <w:sz w:val="32"/>
          <w:szCs w:val="32"/>
        </w:rPr>
        <w:fldChar w:fldCharType="begin"/>
      </w:r>
      <w:r>
        <w:rPr>
          <w:sz w:val="32"/>
          <w:szCs w:val="32"/>
        </w:rPr>
        <w:instrText xml:space="preserve"> PAGEREF _Toc485375023 \h </w:instrText>
      </w:r>
      <w:r>
        <w:rPr>
          <w:sz w:val="32"/>
          <w:szCs w:val="32"/>
        </w:rPr>
        <w:fldChar w:fldCharType="separate"/>
      </w:r>
      <w:r>
        <w:rPr>
          <w:sz w:val="32"/>
          <w:szCs w:val="32"/>
        </w:rPr>
        <w:t>5</w:t>
      </w:r>
      <w:r>
        <w:rPr>
          <w:sz w:val="32"/>
          <w:szCs w:val="32"/>
        </w:rPr>
        <w:fldChar w:fldCharType="end"/>
      </w:r>
      <w:r>
        <w:fldChar w:fldCharType="end"/>
      </w:r>
    </w:p>
    <w:p>
      <w:pPr>
        <w:pStyle w:val="16"/>
        <w:tabs>
          <w:tab w:val="right" w:leader="dot" w:pos="8296"/>
        </w:tabs>
        <w:rPr>
          <w:rFonts w:ascii="Calibri" w:hAnsi="Calibri" w:eastAsia="宋体" w:cs="黑体"/>
          <w:sz w:val="32"/>
          <w:szCs w:val="32"/>
        </w:rPr>
      </w:pPr>
      <w:r>
        <w:fldChar w:fldCharType="begin"/>
      </w:r>
      <w:r>
        <w:instrText xml:space="preserve">HYPERLINK  \l "_Toc485375024" </w:instrText>
      </w:r>
      <w:r>
        <w:fldChar w:fldCharType="separate"/>
      </w:r>
      <w:r>
        <w:rPr>
          <w:rStyle w:val="24"/>
          <w:rFonts w:hint="eastAsia" w:ascii="楷体" w:hAnsi="楷体" w:eastAsia="楷体" w:cs="仿宋"/>
          <w:sz w:val="32"/>
          <w:szCs w:val="32"/>
        </w:rPr>
        <w:t>（二）技术结构图</w:t>
      </w:r>
      <w:r>
        <w:rPr>
          <w:sz w:val="32"/>
          <w:szCs w:val="32"/>
        </w:rPr>
        <w:tab/>
      </w:r>
      <w:r>
        <w:rPr>
          <w:sz w:val="32"/>
          <w:szCs w:val="32"/>
        </w:rPr>
        <w:fldChar w:fldCharType="begin"/>
      </w:r>
      <w:r>
        <w:rPr>
          <w:sz w:val="32"/>
          <w:szCs w:val="32"/>
        </w:rPr>
        <w:instrText xml:space="preserve"> PAGEREF _Toc485375024 \h </w:instrText>
      </w:r>
      <w:r>
        <w:rPr>
          <w:sz w:val="32"/>
          <w:szCs w:val="32"/>
        </w:rPr>
        <w:fldChar w:fldCharType="separate"/>
      </w:r>
      <w:r>
        <w:rPr>
          <w:sz w:val="32"/>
          <w:szCs w:val="32"/>
        </w:rPr>
        <w:t>6</w:t>
      </w:r>
      <w:r>
        <w:rPr>
          <w:sz w:val="32"/>
          <w:szCs w:val="32"/>
        </w:rPr>
        <w:fldChar w:fldCharType="end"/>
      </w:r>
      <w:r>
        <w:fldChar w:fldCharType="end"/>
      </w:r>
    </w:p>
    <w:p>
      <w:pPr>
        <w:pStyle w:val="16"/>
        <w:tabs>
          <w:tab w:val="left" w:pos="840"/>
          <w:tab w:val="right" w:leader="dot" w:pos="8296"/>
        </w:tabs>
        <w:rPr>
          <w:rFonts w:ascii="Calibri" w:hAnsi="Calibri" w:eastAsia="宋体" w:cs="黑体"/>
          <w:sz w:val="32"/>
          <w:szCs w:val="32"/>
        </w:rPr>
      </w:pPr>
      <w:r>
        <w:fldChar w:fldCharType="begin"/>
      </w:r>
      <w:r>
        <w:instrText xml:space="preserve"> HYPERLINK \l "_Toc485375025" </w:instrText>
      </w:r>
      <w:r>
        <w:fldChar w:fldCharType="separate"/>
      </w:r>
      <w:r>
        <w:rPr>
          <w:rStyle w:val="24"/>
          <w:rFonts w:hint="eastAsia" w:ascii="黑体" w:hAnsi="黑体" w:eastAsia="黑体" w:cs="黑体"/>
          <w:sz w:val="32"/>
          <w:szCs w:val="32"/>
        </w:rPr>
        <w:t>三、</w:t>
      </w:r>
      <w:r>
        <w:rPr>
          <w:rFonts w:ascii="Calibri" w:hAnsi="Calibri" w:eastAsia="宋体" w:cs="黑体"/>
          <w:sz w:val="32"/>
          <w:szCs w:val="32"/>
        </w:rPr>
        <w:tab/>
      </w:r>
      <w:r>
        <w:rPr>
          <w:rStyle w:val="24"/>
          <w:rFonts w:hint="eastAsia" w:ascii="黑体" w:hAnsi="黑体" w:eastAsia="黑体" w:cs="黑体"/>
          <w:sz w:val="32"/>
          <w:szCs w:val="32"/>
        </w:rPr>
        <w:t>车联网产业</w:t>
      </w:r>
      <w:r>
        <w:rPr>
          <w:rStyle w:val="24"/>
          <w:rFonts w:hint="eastAsia" w:ascii="黑体" w:hAnsi="黑体" w:eastAsia="黑体" w:cs="黑体"/>
          <w:sz w:val="32"/>
          <w:szCs w:val="32"/>
          <w:lang w:eastAsia="zh-CN"/>
        </w:rPr>
        <w:t>（</w:t>
      </w:r>
      <w:r>
        <w:rPr>
          <w:rStyle w:val="24"/>
          <w:rFonts w:hint="eastAsia" w:ascii="黑体" w:hAnsi="黑体" w:eastAsia="黑体" w:cs="黑体"/>
          <w:sz w:val="32"/>
          <w:szCs w:val="32"/>
        </w:rPr>
        <w:t>信息通信</w:t>
      </w:r>
      <w:r>
        <w:rPr>
          <w:rStyle w:val="24"/>
          <w:rFonts w:hint="eastAsia" w:ascii="黑体" w:hAnsi="黑体" w:eastAsia="黑体" w:cs="黑体"/>
          <w:sz w:val="32"/>
          <w:szCs w:val="32"/>
          <w:lang w:eastAsia="zh-CN"/>
        </w:rPr>
        <w:t>）</w:t>
      </w:r>
      <w:r>
        <w:rPr>
          <w:rStyle w:val="24"/>
          <w:rFonts w:hint="eastAsia" w:ascii="黑体" w:hAnsi="黑体" w:eastAsia="黑体" w:cs="黑体"/>
          <w:sz w:val="32"/>
          <w:szCs w:val="32"/>
        </w:rPr>
        <w:t>标准体系建设内容</w:t>
      </w:r>
      <w:r>
        <w:rPr>
          <w:sz w:val="32"/>
          <w:szCs w:val="32"/>
        </w:rPr>
        <w:tab/>
      </w:r>
      <w:r>
        <w:rPr>
          <w:sz w:val="32"/>
          <w:szCs w:val="32"/>
        </w:rPr>
        <w:fldChar w:fldCharType="begin"/>
      </w:r>
      <w:r>
        <w:rPr>
          <w:sz w:val="32"/>
          <w:szCs w:val="32"/>
        </w:rPr>
        <w:instrText xml:space="preserve"> PAGEREF _Toc485375025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16"/>
        <w:tabs>
          <w:tab w:val="right" w:leader="dot" w:pos="8296"/>
        </w:tabs>
        <w:rPr>
          <w:rFonts w:ascii="Calibri" w:hAnsi="Calibri" w:eastAsia="宋体" w:cs="黑体"/>
          <w:sz w:val="32"/>
          <w:szCs w:val="32"/>
        </w:rPr>
      </w:pPr>
      <w:r>
        <w:fldChar w:fldCharType="begin"/>
      </w:r>
      <w:r>
        <w:instrText xml:space="preserve"> HYPERLINK \l "_Toc485375026" </w:instrText>
      </w:r>
      <w:r>
        <w:fldChar w:fldCharType="separate"/>
      </w:r>
      <w:r>
        <w:rPr>
          <w:rStyle w:val="24"/>
          <w:rFonts w:hint="eastAsia" w:ascii="楷体" w:hAnsi="楷体" w:eastAsia="楷体" w:cs="仿宋"/>
          <w:sz w:val="32"/>
          <w:szCs w:val="32"/>
        </w:rPr>
        <w:t>（一）车联网产业</w:t>
      </w:r>
      <w:r>
        <w:rPr>
          <w:rStyle w:val="24"/>
          <w:rFonts w:hint="eastAsia" w:ascii="楷体" w:hAnsi="楷体" w:eastAsia="楷体" w:cs="仿宋"/>
          <w:sz w:val="32"/>
          <w:szCs w:val="32"/>
          <w:lang w:eastAsia="zh-CN"/>
        </w:rPr>
        <w:t>（</w:t>
      </w:r>
      <w:r>
        <w:rPr>
          <w:rStyle w:val="24"/>
          <w:rFonts w:hint="eastAsia" w:ascii="楷体" w:hAnsi="楷体" w:eastAsia="楷体" w:cs="仿宋"/>
          <w:sz w:val="32"/>
          <w:szCs w:val="32"/>
        </w:rPr>
        <w:t>信息通信</w:t>
      </w:r>
      <w:r>
        <w:rPr>
          <w:rStyle w:val="24"/>
          <w:rFonts w:hint="eastAsia" w:ascii="楷体" w:hAnsi="楷体" w:eastAsia="楷体" w:cs="仿宋"/>
          <w:sz w:val="32"/>
          <w:szCs w:val="32"/>
          <w:lang w:eastAsia="zh-CN"/>
        </w:rPr>
        <w:t>）</w:t>
      </w:r>
      <w:r>
        <w:rPr>
          <w:rStyle w:val="24"/>
          <w:rFonts w:hint="eastAsia" w:ascii="楷体" w:hAnsi="楷体" w:eastAsia="楷体" w:cs="仿宋"/>
          <w:sz w:val="32"/>
          <w:szCs w:val="32"/>
        </w:rPr>
        <w:t>标准体系结构图</w:t>
      </w:r>
      <w:r>
        <w:rPr>
          <w:sz w:val="32"/>
          <w:szCs w:val="32"/>
        </w:rPr>
        <w:tab/>
      </w:r>
      <w:r>
        <w:rPr>
          <w:sz w:val="32"/>
          <w:szCs w:val="32"/>
        </w:rPr>
        <w:fldChar w:fldCharType="begin"/>
      </w:r>
      <w:r>
        <w:rPr>
          <w:sz w:val="32"/>
          <w:szCs w:val="32"/>
        </w:rPr>
        <w:instrText xml:space="preserve"> PAGEREF _Toc485375026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16"/>
        <w:tabs>
          <w:tab w:val="right" w:leader="dot" w:pos="8296"/>
        </w:tabs>
        <w:rPr>
          <w:rFonts w:ascii="Calibri" w:hAnsi="Calibri" w:eastAsia="宋体" w:cs="黑体"/>
          <w:sz w:val="32"/>
          <w:szCs w:val="32"/>
        </w:rPr>
      </w:pPr>
      <w:r>
        <w:fldChar w:fldCharType="begin"/>
      </w:r>
      <w:r>
        <w:instrText xml:space="preserve">HYPERLINK  \l "_Toc485375027" </w:instrText>
      </w:r>
      <w:r>
        <w:fldChar w:fldCharType="separate"/>
      </w:r>
      <w:r>
        <w:rPr>
          <w:rStyle w:val="24"/>
          <w:rFonts w:hint="eastAsia" w:ascii="楷体" w:hAnsi="楷体" w:eastAsia="楷体" w:cs="仿宋"/>
          <w:sz w:val="32"/>
          <w:szCs w:val="32"/>
        </w:rPr>
        <w:t>（二）标准体系建设内容</w:t>
      </w:r>
      <w:r>
        <w:rPr>
          <w:sz w:val="32"/>
          <w:szCs w:val="32"/>
        </w:rPr>
        <w:tab/>
      </w:r>
      <w:r>
        <w:rPr>
          <w:sz w:val="32"/>
          <w:szCs w:val="32"/>
        </w:rPr>
        <w:fldChar w:fldCharType="begin"/>
      </w:r>
      <w:r>
        <w:rPr>
          <w:sz w:val="32"/>
          <w:szCs w:val="32"/>
        </w:rPr>
        <w:instrText xml:space="preserve"> PAGEREF _Toc485375027 \h </w:instrText>
      </w:r>
      <w:r>
        <w:rPr>
          <w:sz w:val="32"/>
          <w:szCs w:val="32"/>
        </w:rPr>
        <w:fldChar w:fldCharType="separate"/>
      </w:r>
      <w:r>
        <w:rPr>
          <w:sz w:val="32"/>
          <w:szCs w:val="32"/>
        </w:rPr>
        <w:t>9</w:t>
      </w:r>
      <w:r>
        <w:rPr>
          <w:sz w:val="32"/>
          <w:szCs w:val="32"/>
        </w:rPr>
        <w:fldChar w:fldCharType="end"/>
      </w:r>
      <w:r>
        <w:fldChar w:fldCharType="end"/>
      </w:r>
    </w:p>
    <w:p>
      <w:pPr>
        <w:pStyle w:val="16"/>
        <w:tabs>
          <w:tab w:val="right" w:leader="dot" w:pos="8296"/>
        </w:tabs>
        <w:rPr>
          <w:rFonts w:ascii="Calibri" w:hAnsi="Calibri" w:eastAsia="宋体" w:cs="黑体"/>
          <w:sz w:val="32"/>
          <w:szCs w:val="32"/>
        </w:rPr>
      </w:pPr>
      <w:r>
        <w:fldChar w:fldCharType="begin"/>
      </w:r>
      <w:r>
        <w:instrText xml:space="preserve">HYPERLINK  \l "_Toc485375028" </w:instrText>
      </w:r>
      <w:r>
        <w:fldChar w:fldCharType="separate"/>
      </w:r>
      <w:r>
        <w:rPr>
          <w:rStyle w:val="24"/>
          <w:rFonts w:hint="eastAsia" w:ascii="楷体" w:hAnsi="楷体" w:eastAsia="楷体" w:cs="仿宋"/>
          <w:sz w:val="32"/>
          <w:szCs w:val="32"/>
        </w:rPr>
        <w:t>（三）标准体系表</w:t>
      </w:r>
      <w:r>
        <w:rPr>
          <w:sz w:val="32"/>
          <w:szCs w:val="32"/>
        </w:rPr>
        <w:tab/>
      </w:r>
      <w:r>
        <w:rPr>
          <w:sz w:val="32"/>
          <w:szCs w:val="32"/>
        </w:rPr>
        <w:fldChar w:fldCharType="begin"/>
      </w:r>
      <w:r>
        <w:rPr>
          <w:sz w:val="32"/>
          <w:szCs w:val="32"/>
        </w:rPr>
        <w:instrText xml:space="preserve"> PAGEREF _Toc485375028 \h </w:instrText>
      </w:r>
      <w:r>
        <w:rPr>
          <w:sz w:val="32"/>
          <w:szCs w:val="32"/>
        </w:rPr>
        <w:fldChar w:fldCharType="separate"/>
      </w:r>
      <w:r>
        <w:rPr>
          <w:sz w:val="32"/>
          <w:szCs w:val="32"/>
        </w:rPr>
        <w:t>12</w:t>
      </w:r>
      <w:r>
        <w:rPr>
          <w:sz w:val="32"/>
          <w:szCs w:val="32"/>
        </w:rPr>
        <w:fldChar w:fldCharType="end"/>
      </w:r>
      <w:r>
        <w:fldChar w:fldCharType="end"/>
      </w:r>
    </w:p>
    <w:p>
      <w:pPr>
        <w:pStyle w:val="16"/>
        <w:tabs>
          <w:tab w:val="left" w:pos="840"/>
          <w:tab w:val="right" w:leader="dot" w:pos="8296"/>
        </w:tabs>
        <w:rPr>
          <w:rFonts w:ascii="Calibri" w:hAnsi="Calibri" w:eastAsia="宋体" w:cs="黑体"/>
          <w:sz w:val="32"/>
          <w:szCs w:val="32"/>
        </w:rPr>
      </w:pPr>
      <w:r>
        <w:fldChar w:fldCharType="begin"/>
      </w:r>
      <w:r>
        <w:instrText xml:space="preserve"> HYPERLINK \l "_Toc485375029" </w:instrText>
      </w:r>
      <w:r>
        <w:fldChar w:fldCharType="separate"/>
      </w:r>
      <w:r>
        <w:rPr>
          <w:rStyle w:val="24"/>
          <w:rFonts w:hint="eastAsia" w:ascii="黑体" w:hAnsi="黑体" w:eastAsia="黑体" w:cs="黑体"/>
          <w:sz w:val="32"/>
          <w:szCs w:val="32"/>
        </w:rPr>
        <w:t>四、</w:t>
      </w:r>
      <w:r>
        <w:rPr>
          <w:rFonts w:ascii="Calibri" w:hAnsi="Calibri" w:eastAsia="宋体" w:cs="黑体"/>
          <w:sz w:val="32"/>
          <w:szCs w:val="32"/>
        </w:rPr>
        <w:tab/>
      </w:r>
      <w:r>
        <w:rPr>
          <w:rStyle w:val="24"/>
          <w:rFonts w:hint="eastAsia" w:ascii="黑体" w:hAnsi="黑体" w:eastAsia="黑体" w:cs="黑体"/>
          <w:sz w:val="32"/>
          <w:szCs w:val="32"/>
        </w:rPr>
        <w:t>车联网产业</w:t>
      </w:r>
      <w:r>
        <w:rPr>
          <w:rStyle w:val="24"/>
          <w:rFonts w:hint="eastAsia" w:ascii="黑体" w:hAnsi="黑体" w:eastAsia="黑体" w:cs="黑体"/>
          <w:sz w:val="32"/>
          <w:szCs w:val="32"/>
          <w:lang w:eastAsia="zh-CN"/>
        </w:rPr>
        <w:t>（</w:t>
      </w:r>
      <w:r>
        <w:rPr>
          <w:rStyle w:val="24"/>
          <w:rFonts w:hint="eastAsia" w:ascii="黑体" w:hAnsi="黑体" w:eastAsia="黑体" w:cs="黑体"/>
          <w:sz w:val="32"/>
          <w:szCs w:val="32"/>
        </w:rPr>
        <w:t>信息通信</w:t>
      </w:r>
      <w:r>
        <w:rPr>
          <w:rStyle w:val="24"/>
          <w:rFonts w:hint="eastAsia" w:ascii="黑体" w:hAnsi="黑体" w:eastAsia="黑体" w:cs="黑体"/>
          <w:sz w:val="32"/>
          <w:szCs w:val="32"/>
          <w:lang w:eastAsia="zh-CN"/>
        </w:rPr>
        <w:t>）</w:t>
      </w:r>
      <w:r>
        <w:rPr>
          <w:rStyle w:val="24"/>
          <w:rFonts w:hint="eastAsia" w:ascii="黑体" w:hAnsi="黑体" w:eastAsia="黑体" w:cs="黑体"/>
          <w:sz w:val="32"/>
          <w:szCs w:val="32"/>
        </w:rPr>
        <w:t>标准体系组织实施</w:t>
      </w:r>
      <w:r>
        <w:rPr>
          <w:sz w:val="32"/>
          <w:szCs w:val="32"/>
        </w:rPr>
        <w:tab/>
      </w:r>
      <w:r>
        <w:rPr>
          <w:sz w:val="32"/>
          <w:szCs w:val="32"/>
        </w:rPr>
        <w:fldChar w:fldCharType="begin"/>
      </w:r>
      <w:r>
        <w:rPr>
          <w:sz w:val="32"/>
          <w:szCs w:val="32"/>
        </w:rPr>
        <w:instrText xml:space="preserve"> PAGEREF _Toc485375029 \h </w:instrText>
      </w:r>
      <w:r>
        <w:rPr>
          <w:sz w:val="32"/>
          <w:szCs w:val="32"/>
        </w:rPr>
        <w:fldChar w:fldCharType="separate"/>
      </w:r>
      <w:r>
        <w:rPr>
          <w:sz w:val="32"/>
          <w:szCs w:val="32"/>
        </w:rPr>
        <w:t>17</w:t>
      </w:r>
      <w:r>
        <w:rPr>
          <w:sz w:val="32"/>
          <w:szCs w:val="32"/>
        </w:rPr>
        <w:fldChar w:fldCharType="end"/>
      </w:r>
      <w:r>
        <w:rPr>
          <w:sz w:val="32"/>
          <w:szCs w:val="32"/>
        </w:rPr>
        <w:fldChar w:fldCharType="end"/>
      </w:r>
    </w:p>
    <w:p>
      <w:pPr>
        <w:ind w:right="-6" w:rightChars="-3"/>
        <w:jc w:val="both"/>
        <w:rPr>
          <w:rFonts w:ascii="宋体" w:hAnsi="宋体" w:cs="宋体"/>
          <w:sz w:val="32"/>
          <w:szCs w:val="32"/>
        </w:rPr>
      </w:pPr>
      <w:r>
        <w:rPr>
          <w:rFonts w:ascii="宋体" w:hAnsi="宋体" w:cs="宋体"/>
          <w:sz w:val="32"/>
          <w:szCs w:val="32"/>
        </w:rPr>
        <w:fldChar w:fldCharType="end"/>
      </w:r>
      <w:bookmarkStart w:id="17" w:name="_Toc421044825"/>
      <w:bookmarkEnd w:id="17"/>
      <w:bookmarkStart w:id="18" w:name="_Toc421044826"/>
      <w:bookmarkEnd w:id="18"/>
      <w:bookmarkStart w:id="19" w:name="_Toc421044827"/>
      <w:bookmarkEnd w:id="19"/>
      <w:bookmarkStart w:id="20" w:name="_Toc421083397"/>
      <w:bookmarkEnd w:id="20"/>
      <w:bookmarkStart w:id="21" w:name="_Toc421044828"/>
      <w:bookmarkEnd w:id="21"/>
      <w:bookmarkStart w:id="22" w:name="_Toc421083398"/>
      <w:bookmarkEnd w:id="22"/>
      <w:bookmarkStart w:id="23" w:name="_Toc421044829"/>
      <w:bookmarkEnd w:id="23"/>
      <w:bookmarkStart w:id="24" w:name="_Toc421083399"/>
      <w:bookmarkEnd w:id="24"/>
      <w:bookmarkStart w:id="25" w:name="_Toc421044830"/>
      <w:bookmarkEnd w:id="25"/>
      <w:bookmarkStart w:id="26" w:name="_Toc421083400"/>
      <w:bookmarkEnd w:id="26"/>
      <w:bookmarkStart w:id="27" w:name="_Toc435656340"/>
      <w:bookmarkEnd w:id="27"/>
      <w:bookmarkStart w:id="28" w:name="_Toc435656341"/>
      <w:bookmarkEnd w:id="28"/>
      <w:bookmarkStart w:id="29" w:name="_Toc435656342"/>
      <w:bookmarkEnd w:id="29"/>
      <w:bookmarkStart w:id="30" w:name="_Toc435656343"/>
      <w:bookmarkEnd w:id="30"/>
      <w:bookmarkStart w:id="31" w:name="_Toc435656344"/>
      <w:bookmarkEnd w:id="31"/>
      <w:bookmarkStart w:id="32" w:name="_Toc435656345"/>
      <w:bookmarkEnd w:id="32"/>
      <w:bookmarkStart w:id="33" w:name="_Toc435656346"/>
      <w:bookmarkEnd w:id="33"/>
      <w:bookmarkStart w:id="34" w:name="_Toc435656347"/>
      <w:bookmarkEnd w:id="34"/>
      <w:bookmarkStart w:id="35" w:name="_Toc435656348"/>
      <w:bookmarkEnd w:id="35"/>
      <w:bookmarkStart w:id="36" w:name="_Toc435656349"/>
      <w:bookmarkEnd w:id="36"/>
      <w:bookmarkStart w:id="37" w:name="_Toc435656350"/>
      <w:bookmarkEnd w:id="37"/>
      <w:bookmarkStart w:id="38" w:name="_Toc435656351"/>
      <w:bookmarkEnd w:id="38"/>
      <w:bookmarkStart w:id="39" w:name="_Toc435656352"/>
      <w:bookmarkEnd w:id="39"/>
      <w:bookmarkStart w:id="40" w:name="_Toc435656353"/>
      <w:bookmarkEnd w:id="40"/>
      <w:bookmarkStart w:id="41" w:name="_Toc435656354"/>
      <w:bookmarkEnd w:id="41"/>
      <w:bookmarkStart w:id="42" w:name="_Toc435656355"/>
      <w:bookmarkEnd w:id="42"/>
      <w:bookmarkStart w:id="43" w:name="_Toc435656356"/>
      <w:bookmarkEnd w:id="43"/>
      <w:bookmarkStart w:id="44" w:name="_Toc435656357"/>
      <w:bookmarkEnd w:id="44"/>
      <w:bookmarkStart w:id="45" w:name="_Toc435656363"/>
      <w:bookmarkEnd w:id="45"/>
      <w:bookmarkStart w:id="46" w:name="_Toc435656359"/>
      <w:bookmarkEnd w:id="46"/>
      <w:bookmarkStart w:id="47" w:name="_Toc435656360"/>
      <w:bookmarkEnd w:id="47"/>
      <w:bookmarkStart w:id="48" w:name="_Toc435656361"/>
      <w:bookmarkEnd w:id="48"/>
      <w:bookmarkStart w:id="49" w:name="_Toc435656362"/>
      <w:bookmarkEnd w:id="49"/>
      <w:bookmarkStart w:id="50" w:name="_Toc435656358"/>
      <w:bookmarkEnd w:id="50"/>
      <w:bookmarkStart w:id="51" w:name="_Toc435656364"/>
      <w:bookmarkEnd w:id="51"/>
      <w:bookmarkStart w:id="52" w:name="_Toc435656365"/>
      <w:bookmarkEnd w:id="52"/>
    </w:p>
    <w:p>
      <w:pPr>
        <w:ind w:right="-6" w:rightChars="-3"/>
        <w:jc w:val="both"/>
        <w:rPr>
          <w:rFonts w:ascii="仿宋" w:hAnsi="仿宋" w:eastAsia="仿宋"/>
          <w:sz w:val="32"/>
          <w:szCs w:val="32"/>
        </w:rPr>
      </w:pPr>
      <w:r>
        <w:rPr>
          <w:rFonts w:ascii="宋体" w:hAnsi="宋体" w:cs="宋体"/>
          <w:sz w:val="32"/>
          <w:szCs w:val="32"/>
        </w:rPr>
        <w:br w:type="page"/>
      </w:r>
    </w:p>
    <w:p>
      <w:pPr>
        <w:ind w:right="-6" w:rightChars="-3" w:firstLine="641"/>
        <w:rPr>
          <w:rFonts w:ascii="仿宋" w:hAnsi="仿宋" w:eastAsia="仿宋"/>
          <w:sz w:val="32"/>
          <w:szCs w:val="32"/>
        </w:rPr>
      </w:pPr>
      <w:r>
        <w:rPr>
          <w:rFonts w:hint="eastAsia" w:ascii="仿宋" w:hAnsi="仿宋" w:eastAsia="仿宋"/>
          <w:sz w:val="32"/>
          <w:szCs w:val="32"/>
        </w:rPr>
        <w:t>为了加强顶层设计，全面</w:t>
      </w:r>
      <w:r>
        <w:fldChar w:fldCharType="begin"/>
      </w:r>
      <w:r>
        <w:instrText xml:space="preserve">HYPERLINK "http://money.163.com/keywords/6/a/63a852a8/1.html" </w:instrText>
      </w:r>
      <w:r>
        <w:fldChar w:fldCharType="separate"/>
      </w:r>
      <w:r>
        <w:rPr>
          <w:rFonts w:hint="eastAsia" w:ascii="仿宋" w:hAnsi="仿宋" w:eastAsia="仿宋"/>
          <w:sz w:val="32"/>
          <w:szCs w:val="32"/>
        </w:rPr>
        <w:t>推动</w:t>
      </w:r>
      <w:r>
        <w:fldChar w:fldCharType="end"/>
      </w:r>
      <w:r>
        <w:rPr>
          <w:rFonts w:hint="eastAsia" w:ascii="仿宋" w:hAnsi="仿宋" w:eastAsia="仿宋"/>
          <w:sz w:val="32"/>
          <w:szCs w:val="32"/>
        </w:rPr>
        <w:t>车联网产业技术研发和标准制定，推动整个产业的健康可持续发展，</w:t>
      </w:r>
      <w:r>
        <w:rPr>
          <w:rFonts w:hint="eastAsia" w:ascii="仿宋" w:hAnsi="仿宋" w:eastAsia="仿宋"/>
          <w:sz w:val="32"/>
          <w:szCs w:val="32"/>
          <w:lang w:val="en-US" w:eastAsia="zh-CN"/>
        </w:rPr>
        <w:t>特</w:t>
      </w:r>
      <w:r>
        <w:rPr>
          <w:rFonts w:hint="eastAsia" w:ascii="仿宋" w:hAnsi="仿宋" w:eastAsia="仿宋"/>
          <w:sz w:val="32"/>
          <w:szCs w:val="32"/>
        </w:rPr>
        <w:t>组织制定《国家车联网产业标准体系建设指南》（以下简称《指南</w:t>
      </w:r>
      <w:r>
        <w:rPr>
          <w:rFonts w:ascii="仿宋" w:hAnsi="仿宋" w:eastAsia="仿宋"/>
          <w:sz w:val="32"/>
          <w:szCs w:val="32"/>
        </w:rPr>
        <w:t>》）</w:t>
      </w:r>
      <w:r>
        <w:rPr>
          <w:rFonts w:hint="eastAsia" w:ascii="仿宋" w:hAnsi="仿宋" w:eastAsia="仿宋"/>
          <w:sz w:val="32"/>
          <w:szCs w:val="32"/>
        </w:rPr>
        <w:t>。</w:t>
      </w:r>
    </w:p>
    <w:p>
      <w:pPr>
        <w:ind w:right="-6" w:rightChars="-3" w:firstLine="641"/>
        <w:rPr>
          <w:rFonts w:ascii="仿宋" w:hAnsi="仿宋" w:eastAsia="仿宋"/>
          <w:sz w:val="32"/>
          <w:szCs w:val="32"/>
        </w:rPr>
      </w:pPr>
      <w:r>
        <w:rPr>
          <w:rFonts w:hint="eastAsia" w:ascii="仿宋" w:hAnsi="仿宋" w:eastAsia="仿宋"/>
          <w:sz w:val="32"/>
          <w:szCs w:val="30"/>
        </w:rPr>
        <w:t>车联网产业是汽车、电子、</w:t>
      </w:r>
      <w:bookmarkStart w:id="127" w:name="_GoBack"/>
      <w:bookmarkEnd w:id="127"/>
      <w:r>
        <w:rPr>
          <w:rFonts w:hint="eastAsia" w:ascii="仿宋" w:hAnsi="仿宋" w:eastAsia="仿宋"/>
          <w:sz w:val="32"/>
          <w:szCs w:val="30"/>
        </w:rPr>
        <w:t>信息通信、道路交通运输等行业深度融合的新型产业，</w:t>
      </w:r>
      <w:r>
        <w:rPr>
          <w:rFonts w:hint="eastAsia" w:ascii="仿宋" w:hAnsi="仿宋" w:eastAsia="仿宋" w:cs="宋体"/>
          <w:bCs/>
          <w:kern w:val="0"/>
          <w:sz w:val="32"/>
          <w:szCs w:val="32"/>
        </w:rPr>
        <w:t>是全球创新热点和未来发展制高点</w:t>
      </w:r>
      <w:r>
        <w:rPr>
          <w:rFonts w:hint="eastAsia" w:ascii="仿宋" w:hAnsi="仿宋" w:eastAsia="仿宋"/>
          <w:sz w:val="32"/>
          <w:szCs w:val="30"/>
        </w:rPr>
        <w:t>。</w:t>
      </w:r>
      <w:r>
        <w:rPr>
          <w:rFonts w:hint="eastAsia" w:ascii="仿宋" w:hAnsi="仿宋" w:eastAsia="仿宋"/>
          <w:sz w:val="32"/>
          <w:szCs w:val="32"/>
        </w:rPr>
        <w:t>《指南》充分发挥标准在车联网产业生态环境构建中的顶层设计</w:t>
      </w:r>
      <w:r>
        <w:rPr>
          <w:rFonts w:ascii="仿宋" w:hAnsi="仿宋" w:eastAsia="仿宋"/>
          <w:sz w:val="32"/>
          <w:szCs w:val="32"/>
        </w:rPr>
        <w:t>和</w:t>
      </w:r>
      <w:r>
        <w:rPr>
          <w:rFonts w:hint="eastAsia" w:ascii="仿宋" w:hAnsi="仿宋" w:eastAsia="仿宋"/>
          <w:sz w:val="32"/>
          <w:szCs w:val="32"/>
        </w:rPr>
        <w:t>基础引领作用，按照</w:t>
      </w:r>
      <w:r>
        <w:rPr>
          <w:rFonts w:ascii="仿宋" w:hAnsi="仿宋" w:eastAsia="仿宋"/>
          <w:sz w:val="32"/>
          <w:szCs w:val="32"/>
        </w:rPr>
        <w:t>不同行业属性划分</w:t>
      </w:r>
      <w:r>
        <w:rPr>
          <w:rFonts w:hint="eastAsia" w:ascii="仿宋" w:hAnsi="仿宋" w:eastAsia="仿宋"/>
          <w:sz w:val="32"/>
          <w:szCs w:val="32"/>
        </w:rPr>
        <w:t>为智能网联汽车标准体系、信息通信标准体系、电子产品与服务标准体系等</w:t>
      </w:r>
      <w:r>
        <w:rPr>
          <w:rFonts w:ascii="仿宋" w:hAnsi="仿宋" w:eastAsia="仿宋"/>
          <w:sz w:val="32"/>
          <w:szCs w:val="32"/>
        </w:rPr>
        <w:t>若干</w:t>
      </w:r>
      <w:r>
        <w:rPr>
          <w:rFonts w:hint="eastAsia" w:ascii="仿宋" w:hAnsi="仿宋" w:eastAsia="仿宋"/>
          <w:sz w:val="32"/>
          <w:szCs w:val="32"/>
        </w:rPr>
        <w:t>部分，为打造自主可控、具有核心技术、开放协同的车联网产业提供支撑。</w:t>
      </w:r>
    </w:p>
    <w:p>
      <w:pPr>
        <w:ind w:right="-6" w:rightChars="-3" w:firstLine="641"/>
        <w:rPr>
          <w:rFonts w:hint="eastAsia" w:ascii="仿宋" w:hAnsi="仿宋" w:eastAsia="仿宋"/>
          <w:sz w:val="32"/>
          <w:szCs w:val="32"/>
        </w:rPr>
      </w:pPr>
      <w:r>
        <w:rPr>
          <w:rFonts w:hint="eastAsia" w:ascii="仿宋" w:hAnsi="仿宋" w:eastAsia="仿宋"/>
          <w:sz w:val="32"/>
          <w:szCs w:val="32"/>
        </w:rPr>
        <w:t>本册为《指南</w:t>
      </w:r>
      <w:r>
        <w:rPr>
          <w:rFonts w:ascii="仿宋" w:hAnsi="仿宋" w:eastAsia="仿宋"/>
          <w:sz w:val="32"/>
          <w:szCs w:val="32"/>
        </w:rPr>
        <w:t>》</w:t>
      </w:r>
      <w:r>
        <w:rPr>
          <w:rFonts w:hint="eastAsia" w:ascii="仿宋" w:hAnsi="仿宋" w:eastAsia="仿宋"/>
          <w:sz w:val="32"/>
          <w:szCs w:val="32"/>
        </w:rPr>
        <w:t>的第二部分，即《国家车联网产业标准体系建设指南（信息</w:t>
      </w:r>
      <w:r>
        <w:rPr>
          <w:rFonts w:ascii="仿宋" w:hAnsi="仿宋" w:eastAsia="仿宋"/>
          <w:sz w:val="32"/>
          <w:szCs w:val="32"/>
        </w:rPr>
        <w:t>通信</w:t>
      </w:r>
      <w:r>
        <w:rPr>
          <w:rFonts w:hint="eastAsia" w:ascii="仿宋" w:hAnsi="仿宋" w:eastAsia="仿宋"/>
          <w:sz w:val="32"/>
          <w:szCs w:val="32"/>
        </w:rPr>
        <w:t>）》，</w:t>
      </w:r>
      <w:r>
        <w:rPr>
          <w:rFonts w:ascii="仿宋" w:hAnsi="仿宋" w:eastAsia="仿宋"/>
          <w:sz w:val="32"/>
          <w:szCs w:val="32"/>
        </w:rPr>
        <w:t>主要</w:t>
      </w:r>
      <w:r>
        <w:rPr>
          <w:rFonts w:hint="eastAsia" w:ascii="仿宋" w:hAnsi="仿宋" w:eastAsia="仿宋"/>
          <w:sz w:val="32"/>
          <w:szCs w:val="32"/>
        </w:rPr>
        <w:t>面向</w:t>
      </w:r>
      <w:r>
        <w:rPr>
          <w:rFonts w:hint="eastAsia" w:ascii="仿宋" w:hAnsi="仿宋" w:eastAsia="仿宋"/>
          <w:sz w:val="32"/>
          <w:szCs w:val="32"/>
          <w:lang w:eastAsia="zh-CN"/>
        </w:rPr>
        <w:t>车联网产业信息通信</w:t>
      </w:r>
      <w:r>
        <w:rPr>
          <w:rFonts w:hint="eastAsia" w:ascii="仿宋" w:hAnsi="仿宋" w:eastAsia="仿宋"/>
          <w:sz w:val="32"/>
          <w:szCs w:val="32"/>
        </w:rPr>
        <w:t>技术、网络和设备、应用服务进行标准体系设计，有目的、有计划、有重点地指导</w:t>
      </w:r>
      <w:r>
        <w:rPr>
          <w:rFonts w:hint="eastAsia" w:ascii="仿宋" w:hAnsi="仿宋" w:eastAsia="仿宋"/>
          <w:sz w:val="32"/>
          <w:szCs w:val="32"/>
          <w:lang w:eastAsia="zh-CN"/>
        </w:rPr>
        <w:t>车联网产业（信息通信）</w:t>
      </w:r>
      <w:r>
        <w:rPr>
          <w:rFonts w:hint="eastAsia" w:ascii="仿宋" w:hAnsi="仿宋" w:eastAsia="仿宋"/>
          <w:sz w:val="32"/>
          <w:szCs w:val="32"/>
        </w:rPr>
        <w:t>标准化工作，充分发挥信息通信标准在车联网产业生态环境构建中的基础支撑和引领作用。</w:t>
      </w:r>
    </w:p>
    <w:p>
      <w:pPr>
        <w:ind w:right="-6" w:rightChars="-3" w:firstLine="641"/>
        <w:rPr>
          <w:rFonts w:hint="eastAsia" w:ascii="仿宋" w:hAnsi="仿宋" w:eastAsia="仿宋"/>
          <w:sz w:val="32"/>
          <w:szCs w:val="32"/>
        </w:rPr>
      </w:pPr>
    </w:p>
    <w:p>
      <w:pPr>
        <w:ind w:right="-6" w:rightChars="-3" w:firstLine="641"/>
        <w:rPr>
          <w:rFonts w:hint="eastAsia" w:ascii="仿宋" w:hAnsi="仿宋" w:eastAsia="仿宋"/>
          <w:sz w:val="32"/>
          <w:szCs w:val="32"/>
        </w:rPr>
      </w:pPr>
    </w:p>
    <w:p>
      <w:pPr>
        <w:pStyle w:val="2"/>
        <w:numPr>
          <w:ilvl w:val="0"/>
          <w:numId w:val="2"/>
        </w:numPr>
        <w:spacing w:before="156" w:beforeLines="50" w:after="156" w:afterLines="50" w:line="240" w:lineRule="auto"/>
        <w:ind w:left="748" w:hanging="748"/>
        <w:rPr>
          <w:rFonts w:ascii="黑体" w:hAnsi="黑体" w:eastAsia="黑体" w:cs="黑体"/>
          <w:b w:val="0"/>
          <w:bCs w:val="0"/>
          <w:kern w:val="2"/>
          <w:sz w:val="32"/>
          <w:szCs w:val="32"/>
        </w:rPr>
      </w:pPr>
      <w:bookmarkStart w:id="53" w:name="_Toc485375014"/>
      <w:bookmarkEnd w:id="53"/>
      <w:bookmarkStart w:id="54" w:name="_Toc485375015"/>
      <w:bookmarkEnd w:id="54"/>
      <w:bookmarkStart w:id="55" w:name="_Toc485375016"/>
      <w:bookmarkEnd w:id="55"/>
      <w:bookmarkStart w:id="56" w:name="_Toc485375017"/>
      <w:bookmarkEnd w:id="56"/>
      <w:bookmarkStart w:id="57" w:name="_Toc485375018"/>
      <w:r>
        <w:rPr>
          <w:rFonts w:hint="eastAsia" w:ascii="黑体" w:hAnsi="黑体" w:eastAsia="黑体" w:cs="黑体"/>
          <w:b w:val="0"/>
          <w:bCs w:val="0"/>
          <w:kern w:val="2"/>
          <w:sz w:val="32"/>
          <w:szCs w:val="32"/>
        </w:rPr>
        <w:t>车联网产业</w:t>
      </w:r>
      <w:r>
        <w:rPr>
          <w:rStyle w:val="24"/>
          <w:rFonts w:hint="eastAsia" w:ascii="黑体" w:hAnsi="黑体" w:eastAsia="黑体" w:cs="黑体"/>
          <w:b w:val="0"/>
          <w:bCs w:val="0"/>
          <w:sz w:val="32"/>
          <w:szCs w:val="32"/>
          <w:lang w:eastAsia="zh-CN"/>
        </w:rPr>
        <w:t>（</w:t>
      </w:r>
      <w:r>
        <w:rPr>
          <w:rStyle w:val="24"/>
          <w:rFonts w:hint="eastAsia" w:ascii="黑体" w:hAnsi="黑体" w:eastAsia="黑体" w:cs="黑体"/>
          <w:b w:val="0"/>
          <w:bCs w:val="0"/>
          <w:sz w:val="32"/>
          <w:szCs w:val="32"/>
        </w:rPr>
        <w:t>信息通信</w:t>
      </w:r>
      <w:r>
        <w:rPr>
          <w:rStyle w:val="24"/>
          <w:rFonts w:hint="eastAsia" w:ascii="黑体" w:hAnsi="黑体" w:eastAsia="黑体" w:cs="黑体"/>
          <w:b w:val="0"/>
          <w:bCs w:val="0"/>
          <w:sz w:val="32"/>
          <w:szCs w:val="32"/>
          <w:lang w:eastAsia="zh-CN"/>
        </w:rPr>
        <w:t>）</w:t>
      </w:r>
      <w:r>
        <w:rPr>
          <w:rFonts w:hint="eastAsia" w:ascii="黑体" w:hAnsi="黑体" w:eastAsia="黑体" w:cs="黑体"/>
          <w:b w:val="0"/>
          <w:bCs w:val="0"/>
          <w:kern w:val="2"/>
          <w:sz w:val="32"/>
          <w:szCs w:val="32"/>
        </w:rPr>
        <w:t>标准体系总体要求</w:t>
      </w:r>
      <w:bookmarkEnd w:id="57"/>
    </w:p>
    <w:p>
      <w:pPr>
        <w:pStyle w:val="2"/>
        <w:spacing w:before="156" w:beforeLines="50" w:after="156" w:afterLines="50" w:line="240" w:lineRule="auto"/>
        <w:ind w:firstLine="643" w:firstLineChars="200"/>
        <w:rPr>
          <w:rFonts w:ascii="楷体" w:hAnsi="楷体" w:eastAsia="楷体"/>
          <w:sz w:val="32"/>
          <w:szCs w:val="32"/>
        </w:rPr>
      </w:pPr>
      <w:bookmarkStart w:id="58" w:name="_Toc485375019"/>
      <w:r>
        <w:rPr>
          <w:rFonts w:hint="eastAsia" w:ascii="楷体" w:hAnsi="楷体" w:eastAsia="楷体" w:cs="仿宋"/>
          <w:sz w:val="32"/>
          <w:szCs w:val="32"/>
        </w:rPr>
        <w:t>（一）指导思想</w:t>
      </w:r>
      <w:bookmarkEnd w:id="58"/>
    </w:p>
    <w:p>
      <w:pPr>
        <w:spacing w:before="156" w:beforeLines="50"/>
        <w:ind w:firstLine="640" w:firstLineChars="200"/>
        <w:jc w:val="both"/>
        <w:rPr>
          <w:rFonts w:ascii="仿宋" w:hAnsi="仿宋" w:eastAsia="仿宋"/>
          <w:sz w:val="32"/>
          <w:szCs w:val="32"/>
        </w:rPr>
      </w:pPr>
      <w:r>
        <w:rPr>
          <w:rFonts w:hint="eastAsia" w:ascii="仿宋" w:hAnsi="仿宋" w:eastAsia="仿宋" w:cs="宋体"/>
          <w:bCs/>
          <w:kern w:val="0"/>
          <w:sz w:val="32"/>
          <w:szCs w:val="32"/>
        </w:rPr>
        <w:t>为贯彻落实《</w:t>
      </w:r>
      <w:r>
        <w:rPr>
          <w:rFonts w:ascii="仿宋" w:hAnsi="仿宋" w:eastAsia="仿宋" w:cs="宋体"/>
          <w:bCs/>
          <w:kern w:val="0"/>
          <w:sz w:val="32"/>
          <w:szCs w:val="32"/>
        </w:rPr>
        <w:t>中国制造2025》</w:t>
      </w:r>
      <w:r>
        <w:rPr>
          <w:rFonts w:hint="eastAsia" w:ascii="仿宋" w:hAnsi="仿宋" w:eastAsia="仿宋" w:cs="宋体"/>
          <w:bCs/>
          <w:kern w:val="0"/>
          <w:sz w:val="32"/>
          <w:szCs w:val="32"/>
        </w:rPr>
        <w:t>，</w:t>
      </w:r>
      <w:r>
        <w:rPr>
          <w:rFonts w:hint="eastAsia" w:ascii="仿宋" w:hAnsi="仿宋" w:eastAsia="仿宋" w:cs="仿宋"/>
          <w:kern w:val="0"/>
          <w:sz w:val="32"/>
          <w:szCs w:val="32"/>
        </w:rPr>
        <w:t>加速推进网络强国和制造强国建设，落实《车联网创新发展工作方案》的要求，</w:t>
      </w:r>
      <w:r>
        <w:rPr>
          <w:rFonts w:ascii="仿宋" w:hAnsi="仿宋" w:eastAsia="仿宋" w:cs="仿宋"/>
          <w:kern w:val="0"/>
          <w:sz w:val="32"/>
          <w:szCs w:val="32"/>
        </w:rPr>
        <w:t>充</w:t>
      </w:r>
      <w:r>
        <w:rPr>
          <w:rFonts w:hint="eastAsia" w:ascii="仿宋" w:hAnsi="仿宋" w:eastAsia="仿宋" w:cs="仿宋"/>
          <w:sz w:val="32"/>
          <w:szCs w:val="32"/>
        </w:rPr>
        <w:t>分发挥信息通信标准在车联网产业生态环境构建中的基础引领和协调作用，制定信息通信标准体系，将为打造安全可靠、自主可控、开放协同的车联网产业提供标准支撑。</w:t>
      </w:r>
    </w:p>
    <w:p>
      <w:pPr>
        <w:pStyle w:val="2"/>
        <w:spacing w:before="156" w:beforeLines="50" w:after="156" w:afterLines="50" w:line="240" w:lineRule="auto"/>
        <w:ind w:firstLine="643" w:firstLineChars="200"/>
        <w:rPr>
          <w:rFonts w:ascii="楷体" w:hAnsi="楷体" w:eastAsia="楷体" w:cs="仿宋"/>
          <w:sz w:val="32"/>
          <w:szCs w:val="32"/>
        </w:rPr>
      </w:pPr>
      <w:bookmarkStart w:id="59" w:name="_Toc485375020"/>
      <w:r>
        <w:rPr>
          <w:rFonts w:hint="eastAsia" w:ascii="楷体" w:hAnsi="楷体" w:eastAsia="楷体" w:cs="仿宋"/>
          <w:sz w:val="32"/>
          <w:szCs w:val="32"/>
        </w:rPr>
        <w:t>（二）基本原则</w:t>
      </w:r>
      <w:bookmarkEnd w:id="59"/>
    </w:p>
    <w:p>
      <w:pPr>
        <w:ind w:firstLine="742" w:firstLineChars="231"/>
        <w:jc w:val="both"/>
        <w:rPr>
          <w:rFonts w:ascii="仿宋" w:hAnsi="仿宋" w:eastAsia="仿宋" w:cs="仿宋"/>
          <w:sz w:val="32"/>
          <w:szCs w:val="32"/>
        </w:rPr>
      </w:pPr>
      <w:bookmarkStart w:id="60" w:name="_Toc422503757"/>
      <w:bookmarkStart w:id="61" w:name="_Toc422558679"/>
      <w:bookmarkStart w:id="62" w:name="_Toc422814423"/>
      <w:bookmarkStart w:id="63" w:name="_Toc423556881"/>
      <w:bookmarkStart w:id="64" w:name="_Toc423593798"/>
      <w:bookmarkStart w:id="65" w:name="_Toc423594869"/>
      <w:bookmarkStart w:id="66" w:name="_Toc423949885"/>
      <w:bookmarkStart w:id="67" w:name="_Toc423950293"/>
      <w:bookmarkStart w:id="68" w:name="_Toc424054734"/>
      <w:r>
        <w:rPr>
          <w:rFonts w:hint="eastAsia" w:ascii="仿宋" w:hAnsi="仿宋" w:eastAsia="仿宋" w:cs="仿宋"/>
          <w:b/>
          <w:bCs/>
          <w:kern w:val="0"/>
          <w:sz w:val="32"/>
          <w:szCs w:val="32"/>
        </w:rPr>
        <w:t>“顶层设计，统筹规划”。</w:t>
      </w:r>
      <w:r>
        <w:rPr>
          <w:rFonts w:hint="eastAsia" w:ascii="仿宋" w:hAnsi="仿宋" w:eastAsia="仿宋" w:cs="仿宋"/>
          <w:sz w:val="32"/>
          <w:szCs w:val="32"/>
        </w:rPr>
        <w:t>在车联网产业发展部际协调机制下，做好信息通信标准体系的顶层设计和规划，明确任务分工。发挥好信息通信标准的基础支撑作用，聚焦</w:t>
      </w:r>
      <w:r>
        <w:rPr>
          <w:rFonts w:hint="eastAsia" w:ascii="仿宋" w:hAnsi="仿宋" w:eastAsia="仿宋" w:cs="仿宋"/>
          <w:sz w:val="32"/>
          <w:szCs w:val="32"/>
          <w:lang w:eastAsia="zh-CN"/>
        </w:rPr>
        <w:t>车联网产业信息通信</w:t>
      </w:r>
      <w:r>
        <w:rPr>
          <w:rFonts w:hint="eastAsia" w:ascii="仿宋" w:hAnsi="仿宋" w:eastAsia="仿宋" w:cs="仿宋"/>
          <w:sz w:val="32"/>
          <w:szCs w:val="32"/>
        </w:rPr>
        <w:t>关键产品与技术、</w:t>
      </w:r>
      <w:r>
        <w:rPr>
          <w:rFonts w:ascii="仿宋" w:hAnsi="仿宋" w:eastAsia="仿宋" w:cs="仿宋"/>
          <w:sz w:val="32"/>
          <w:szCs w:val="32"/>
        </w:rPr>
        <w:t>业务与应用</w:t>
      </w:r>
      <w:r>
        <w:rPr>
          <w:rFonts w:hint="eastAsia" w:ascii="仿宋" w:hAnsi="仿宋" w:eastAsia="仿宋" w:cs="仿宋"/>
          <w:sz w:val="32"/>
          <w:szCs w:val="32"/>
        </w:rPr>
        <w:t>推广、网络和信息安全等方向，合力推动</w:t>
      </w:r>
      <w:r>
        <w:rPr>
          <w:rFonts w:hint="eastAsia" w:ascii="仿宋" w:hAnsi="仿宋" w:eastAsia="仿宋" w:cs="仿宋"/>
          <w:sz w:val="32"/>
          <w:szCs w:val="32"/>
          <w:lang w:eastAsia="zh-CN"/>
        </w:rPr>
        <w:t>车联网产业（信息通信）</w:t>
      </w:r>
      <w:r>
        <w:rPr>
          <w:rFonts w:hint="eastAsia" w:ascii="仿宋" w:hAnsi="仿宋" w:eastAsia="仿宋" w:cs="仿宋"/>
          <w:sz w:val="32"/>
          <w:szCs w:val="32"/>
        </w:rPr>
        <w:t>体系标准化工作。</w:t>
      </w:r>
    </w:p>
    <w:p>
      <w:pPr>
        <w:ind w:firstLine="739" w:firstLineChars="231"/>
        <w:jc w:val="both"/>
        <w:rPr>
          <w:rFonts w:ascii="仿宋" w:hAnsi="仿宋" w:eastAsia="仿宋"/>
          <w:sz w:val="32"/>
          <w:szCs w:val="32"/>
        </w:rPr>
      </w:pPr>
      <w:r>
        <w:rPr>
          <w:rFonts w:hint="eastAsia" w:ascii="仿宋" w:hAnsi="仿宋" w:eastAsia="仿宋" w:cs="仿宋"/>
          <w:sz w:val="32"/>
          <w:szCs w:val="32"/>
        </w:rPr>
        <w:t>“</w:t>
      </w:r>
      <w:r>
        <w:rPr>
          <w:rFonts w:hint="eastAsia" w:ascii="仿宋" w:hAnsi="仿宋" w:eastAsia="仿宋" w:cs="仿宋"/>
          <w:b/>
          <w:bCs/>
          <w:sz w:val="32"/>
          <w:szCs w:val="32"/>
        </w:rPr>
        <w:t>夯实基础，有效支撑</w:t>
      </w:r>
      <w:r>
        <w:rPr>
          <w:rFonts w:hint="eastAsia" w:ascii="仿宋" w:hAnsi="仿宋" w:eastAsia="仿宋" w:cs="仿宋"/>
          <w:sz w:val="32"/>
          <w:szCs w:val="32"/>
        </w:rPr>
        <w:t>”。重视在车联网产业中信息通信的基础作用，做好天线、电磁环境兼容性等基础性技术研究和标准化，对车联网产业其他部分标准化工作开展形成有效支撑，推进</w:t>
      </w:r>
      <w:r>
        <w:rPr>
          <w:rFonts w:hint="eastAsia" w:ascii="仿宋" w:hAnsi="仿宋" w:eastAsia="仿宋" w:cs="仿宋"/>
          <w:sz w:val="32"/>
          <w:szCs w:val="32"/>
          <w:lang w:eastAsia="zh-CN"/>
        </w:rPr>
        <w:t>车联网产业信息通信</w:t>
      </w:r>
      <w:r>
        <w:rPr>
          <w:rFonts w:hint="eastAsia" w:ascii="仿宋" w:hAnsi="仿宋" w:eastAsia="仿宋" w:cs="仿宋"/>
          <w:sz w:val="32"/>
          <w:szCs w:val="32"/>
        </w:rPr>
        <w:t>技术提升和拓宽行业应用。</w:t>
      </w:r>
    </w:p>
    <w:p>
      <w:pPr>
        <w:ind w:firstLine="739" w:firstLineChars="231"/>
        <w:jc w:val="both"/>
        <w:rPr>
          <w:rFonts w:ascii="仿宋" w:hAnsi="仿宋" w:eastAsia="仿宋"/>
          <w:sz w:val="32"/>
          <w:szCs w:val="32"/>
        </w:rPr>
      </w:pPr>
      <w:r>
        <w:rPr>
          <w:rFonts w:hint="eastAsia" w:ascii="仿宋" w:hAnsi="仿宋" w:eastAsia="仿宋" w:cs="仿宋"/>
          <w:sz w:val="32"/>
          <w:szCs w:val="32"/>
        </w:rPr>
        <w:t>“</w:t>
      </w:r>
      <w:r>
        <w:rPr>
          <w:rFonts w:hint="eastAsia" w:ascii="仿宋" w:hAnsi="仿宋" w:eastAsia="仿宋" w:cs="仿宋"/>
          <w:b/>
          <w:bCs/>
          <w:sz w:val="32"/>
          <w:szCs w:val="32"/>
        </w:rPr>
        <w:t>急用先行，重点突破</w:t>
      </w:r>
      <w:r>
        <w:rPr>
          <w:rFonts w:hint="eastAsia" w:ascii="仿宋" w:hAnsi="仿宋" w:eastAsia="仿宋" w:cs="仿宋"/>
          <w:sz w:val="32"/>
          <w:szCs w:val="32"/>
        </w:rPr>
        <w:t>”。在标准体系中以新一代信息通信技术为切入点和突破口，重点开展</w:t>
      </w:r>
      <w:r>
        <w:rPr>
          <w:rFonts w:ascii="仿宋" w:hAnsi="仿宋" w:eastAsia="仿宋" w:cs="仿宋"/>
          <w:sz w:val="32"/>
          <w:szCs w:val="32"/>
        </w:rPr>
        <w:t>LTE-V2X</w:t>
      </w:r>
      <w:r>
        <w:rPr>
          <w:rFonts w:hint="eastAsia" w:ascii="仿宋" w:hAnsi="仿宋" w:eastAsia="仿宋" w:cs="仿宋"/>
          <w:sz w:val="32"/>
          <w:szCs w:val="32"/>
        </w:rPr>
        <w:t>、</w:t>
      </w:r>
      <w:r>
        <w:rPr>
          <w:rFonts w:ascii="仿宋" w:hAnsi="仿宋" w:eastAsia="仿宋" w:cs="仿宋"/>
          <w:sz w:val="32"/>
          <w:szCs w:val="32"/>
        </w:rPr>
        <w:t>5G eV2X</w:t>
      </w:r>
      <w:r>
        <w:rPr>
          <w:rFonts w:hint="eastAsia" w:ascii="仿宋" w:hAnsi="仿宋" w:eastAsia="仿宋" w:cs="仿宋"/>
          <w:sz w:val="32"/>
          <w:szCs w:val="32"/>
        </w:rPr>
        <w:t>、大数据与云计算、网络通信安全等关键技术标准，加大在标准中采用创新的技术和工艺。</w:t>
      </w:r>
    </w:p>
    <w:p>
      <w:pPr>
        <w:ind w:firstLine="742" w:firstLineChars="231"/>
        <w:jc w:val="both"/>
        <w:rPr>
          <w:rFonts w:ascii="仿宋" w:hAnsi="仿宋" w:eastAsia="仿宋"/>
          <w:color w:val="070707"/>
          <w:kern w:val="0"/>
          <w:sz w:val="32"/>
          <w:szCs w:val="32"/>
        </w:rPr>
      </w:pPr>
      <w:r>
        <w:rPr>
          <w:rFonts w:hint="eastAsia" w:ascii="仿宋" w:hAnsi="仿宋" w:eastAsia="仿宋" w:cs="仿宋"/>
          <w:b/>
          <w:bCs/>
          <w:sz w:val="32"/>
          <w:szCs w:val="32"/>
        </w:rPr>
        <w:t>“应用牵引，强化安全”。</w:t>
      </w:r>
      <w:r>
        <w:rPr>
          <w:rFonts w:hint="eastAsia" w:ascii="仿宋" w:hAnsi="仿宋" w:eastAsia="仿宋" w:cs="仿宋"/>
          <w:color w:val="070707"/>
          <w:kern w:val="0"/>
          <w:sz w:val="32"/>
          <w:szCs w:val="32"/>
        </w:rPr>
        <w:t>以</w:t>
      </w:r>
      <w:r>
        <w:rPr>
          <w:rFonts w:hint="eastAsia" w:ascii="仿宋" w:hAnsi="仿宋" w:eastAsia="仿宋" w:cs="仿宋"/>
          <w:color w:val="070707"/>
          <w:kern w:val="0"/>
          <w:sz w:val="32"/>
          <w:szCs w:val="32"/>
          <w:lang w:eastAsia="zh-CN"/>
        </w:rPr>
        <w:t>车联网产业信息通信</w:t>
      </w:r>
      <w:r>
        <w:rPr>
          <w:rFonts w:hint="eastAsia" w:ascii="仿宋" w:hAnsi="仿宋" w:eastAsia="仿宋" w:cs="仿宋"/>
          <w:color w:val="070707"/>
          <w:kern w:val="0"/>
          <w:sz w:val="32"/>
          <w:szCs w:val="32"/>
        </w:rPr>
        <w:t>服务为着力点，加强车辆紧急救援、安全预警等关系民生的重点应用的标准化和推广，带动车联网产业的规模化发展。建立健全网络安全防护体系，制定相关的安全标准和规范，提升网络安全防护能力。</w:t>
      </w:r>
    </w:p>
    <w:bookmarkEnd w:id="60"/>
    <w:bookmarkEnd w:id="61"/>
    <w:bookmarkEnd w:id="62"/>
    <w:bookmarkEnd w:id="63"/>
    <w:bookmarkEnd w:id="64"/>
    <w:bookmarkEnd w:id="65"/>
    <w:bookmarkEnd w:id="66"/>
    <w:bookmarkEnd w:id="67"/>
    <w:bookmarkEnd w:id="68"/>
    <w:p>
      <w:pPr>
        <w:pStyle w:val="2"/>
        <w:spacing w:before="156" w:beforeLines="50" w:after="156" w:afterLines="50" w:line="240" w:lineRule="auto"/>
        <w:ind w:firstLine="643" w:firstLineChars="200"/>
        <w:rPr>
          <w:rFonts w:ascii="楷体" w:hAnsi="楷体" w:eastAsia="楷体" w:cs="仿宋"/>
          <w:sz w:val="32"/>
          <w:szCs w:val="32"/>
        </w:rPr>
      </w:pPr>
      <w:bookmarkStart w:id="69" w:name="_Toc436730904"/>
      <w:bookmarkEnd w:id="69"/>
      <w:bookmarkStart w:id="70" w:name="_Toc436730905"/>
      <w:bookmarkEnd w:id="70"/>
      <w:bookmarkStart w:id="71" w:name="_Toc436730906"/>
      <w:bookmarkEnd w:id="71"/>
      <w:bookmarkStart w:id="72" w:name="_Toc436335542"/>
      <w:bookmarkEnd w:id="72"/>
      <w:bookmarkStart w:id="73" w:name="_Toc436730908"/>
      <w:bookmarkEnd w:id="73"/>
      <w:bookmarkStart w:id="74" w:name="_Toc436730907"/>
      <w:bookmarkEnd w:id="74"/>
      <w:bookmarkStart w:id="75" w:name="_Toc485375021"/>
      <w:r>
        <w:rPr>
          <w:rFonts w:hint="eastAsia" w:ascii="楷体" w:hAnsi="楷体" w:eastAsia="楷体" w:cs="仿宋"/>
          <w:sz w:val="32"/>
          <w:szCs w:val="32"/>
        </w:rPr>
        <w:t>（三）建设目标</w:t>
      </w:r>
      <w:bookmarkEnd w:id="75"/>
    </w:p>
    <w:p>
      <w:pPr>
        <w:ind w:firstLine="640" w:firstLineChars="200"/>
        <w:jc w:val="both"/>
        <w:rPr>
          <w:rFonts w:ascii="仿宋" w:hAnsi="仿宋" w:eastAsia="仿宋"/>
          <w:sz w:val="32"/>
          <w:szCs w:val="32"/>
        </w:rPr>
      </w:pPr>
      <w:r>
        <w:rPr>
          <w:rFonts w:hint="eastAsia" w:ascii="仿宋" w:hAnsi="仿宋" w:eastAsia="仿宋" w:cs="仿宋"/>
          <w:sz w:val="32"/>
          <w:szCs w:val="32"/>
          <w:lang w:eastAsia="zh-CN"/>
        </w:rPr>
        <w:t>车联网产业（信息通信）</w:t>
      </w:r>
      <w:r>
        <w:rPr>
          <w:rFonts w:hint="eastAsia" w:ascii="仿宋" w:hAnsi="仿宋" w:eastAsia="仿宋" w:cs="仿宋"/>
          <w:sz w:val="32"/>
          <w:szCs w:val="32"/>
        </w:rPr>
        <w:t>标准体系以车、路、人、</w:t>
      </w:r>
      <w:r>
        <w:rPr>
          <w:rFonts w:ascii="仿宋" w:hAnsi="仿宋" w:eastAsia="仿宋" w:cs="仿宋"/>
          <w:sz w:val="32"/>
          <w:szCs w:val="32"/>
        </w:rPr>
        <w:t>云</w:t>
      </w:r>
      <w:r>
        <w:rPr>
          <w:rFonts w:hint="eastAsia" w:ascii="仿宋" w:hAnsi="仿宋" w:eastAsia="仿宋" w:cs="仿宋"/>
          <w:sz w:val="32"/>
          <w:szCs w:val="32"/>
        </w:rPr>
        <w:t>的信息交互和相互间安全、有序、高效协同为目标，“十三五”期间重点研究制定天线技术、电磁环境兼容性等基础技术体系，制定基于</w:t>
      </w:r>
      <w:r>
        <w:rPr>
          <w:rFonts w:ascii="仿宋" w:hAnsi="仿宋" w:eastAsia="仿宋" w:cs="仿宋"/>
          <w:sz w:val="32"/>
          <w:szCs w:val="32"/>
        </w:rPr>
        <w:t>LTE-V2X</w:t>
      </w:r>
      <w:r>
        <w:rPr>
          <w:rFonts w:hint="eastAsia" w:ascii="仿宋" w:hAnsi="仿宋" w:eastAsia="仿宋" w:cs="仿宋"/>
          <w:sz w:val="32"/>
          <w:szCs w:val="32"/>
        </w:rPr>
        <w:t>的无线通信网络建设及关键技术标准体系，探索</w:t>
      </w:r>
      <w:r>
        <w:rPr>
          <w:rFonts w:ascii="仿宋" w:hAnsi="仿宋" w:eastAsia="仿宋" w:cs="仿宋"/>
          <w:sz w:val="32"/>
          <w:szCs w:val="32"/>
        </w:rPr>
        <w:t>5G</w:t>
      </w:r>
      <w:r>
        <w:rPr>
          <w:rFonts w:hint="eastAsia" w:ascii="仿宋" w:hAnsi="仿宋" w:eastAsia="仿宋" w:cs="仿宋"/>
          <w:sz w:val="32"/>
          <w:szCs w:val="32"/>
        </w:rPr>
        <w:t>技术在车联网产业领域的应用，关注效率出行类、</w:t>
      </w:r>
      <w:r>
        <w:rPr>
          <w:rFonts w:ascii="仿宋" w:hAnsi="仿宋" w:eastAsia="仿宋" w:cs="仿宋"/>
          <w:sz w:val="32"/>
          <w:szCs w:val="32"/>
        </w:rPr>
        <w:t>信息娱乐</w:t>
      </w:r>
      <w:r>
        <w:rPr>
          <w:rFonts w:hint="eastAsia" w:ascii="仿宋" w:hAnsi="仿宋" w:eastAsia="仿宋" w:cs="仿宋"/>
          <w:sz w:val="32"/>
          <w:szCs w:val="32"/>
        </w:rPr>
        <w:t>类、通信服务类平台的标准化研究制定工作，制定、完善通信安全相关标准等，支撑车联网产业相关技术发展、促进车联网产业应用和推广。</w:t>
      </w:r>
    </w:p>
    <w:p>
      <w:pPr>
        <w:ind w:firstLine="640" w:firstLineChars="200"/>
        <w:jc w:val="both"/>
        <w:rPr>
          <w:rFonts w:ascii="仿宋" w:hAnsi="仿宋" w:eastAsia="仿宋"/>
          <w:sz w:val="32"/>
          <w:szCs w:val="32"/>
        </w:rPr>
      </w:pPr>
      <w:r>
        <w:rPr>
          <w:rFonts w:hint="eastAsia" w:ascii="仿宋" w:hAnsi="仿宋" w:eastAsia="仿宋" w:cs="仿宋"/>
          <w:sz w:val="32"/>
          <w:szCs w:val="32"/>
        </w:rPr>
        <w:t>具体分为两个阶段，</w:t>
      </w:r>
      <w:r>
        <w:rPr>
          <w:rFonts w:ascii="仿宋" w:hAnsi="仿宋" w:eastAsia="仿宋" w:cs="仿宋"/>
          <w:sz w:val="32"/>
          <w:szCs w:val="32"/>
        </w:rPr>
        <w:t>2018</w:t>
      </w:r>
      <w:r>
        <w:rPr>
          <w:rFonts w:hint="eastAsia" w:ascii="仿宋" w:hAnsi="仿宋" w:eastAsia="仿宋" w:cs="仿宋"/>
          <w:sz w:val="32"/>
          <w:szCs w:val="32"/>
        </w:rPr>
        <w:t>年底前完成基础性技术研究，建立基础性技术标准体系，并形成基于</w:t>
      </w:r>
      <w:r>
        <w:rPr>
          <w:rFonts w:ascii="仿宋" w:hAnsi="仿宋" w:eastAsia="仿宋" w:cs="仿宋"/>
          <w:sz w:val="32"/>
          <w:szCs w:val="32"/>
        </w:rPr>
        <w:t>LTE-V2X</w:t>
      </w:r>
      <w:r>
        <w:rPr>
          <w:rFonts w:hint="eastAsia" w:ascii="仿宋" w:hAnsi="仿宋" w:eastAsia="仿宋" w:cs="仿宋"/>
          <w:sz w:val="32"/>
          <w:szCs w:val="32"/>
        </w:rPr>
        <w:t>的关键技术标准体系，</w:t>
      </w:r>
      <w:r>
        <w:rPr>
          <w:rFonts w:hint="eastAsia" w:ascii="仿宋" w:hAnsi="仿宋" w:eastAsia="仿宋"/>
          <w:bCs/>
          <w:sz w:val="32"/>
          <w:szCs w:val="32"/>
        </w:rPr>
        <w:t>制定、完善车辆紧急救援、</w:t>
      </w:r>
      <w:r>
        <w:rPr>
          <w:rFonts w:hint="eastAsia" w:ascii="仿宋" w:hAnsi="仿宋" w:eastAsia="仿宋" w:cs="仿宋"/>
          <w:sz w:val="32"/>
          <w:szCs w:val="32"/>
        </w:rPr>
        <w:t>通信安全等重点标准体系建设，针对标准开展试验验证。到</w:t>
      </w:r>
      <w:r>
        <w:rPr>
          <w:rFonts w:ascii="仿宋" w:hAnsi="仿宋" w:eastAsia="仿宋" w:cs="仿宋"/>
          <w:sz w:val="32"/>
          <w:szCs w:val="32"/>
        </w:rPr>
        <w:t>2020</w:t>
      </w:r>
      <w:r>
        <w:rPr>
          <w:rFonts w:hint="eastAsia" w:ascii="仿宋" w:hAnsi="仿宋" w:eastAsia="仿宋" w:cs="仿宋"/>
          <w:sz w:val="32"/>
          <w:szCs w:val="32"/>
        </w:rPr>
        <w:t>年完成5</w:t>
      </w:r>
      <w:r>
        <w:rPr>
          <w:rFonts w:ascii="仿宋" w:hAnsi="仿宋" w:eastAsia="仿宋" w:cs="仿宋"/>
          <w:sz w:val="32"/>
          <w:szCs w:val="32"/>
        </w:rPr>
        <w:t>G</w:t>
      </w:r>
      <w:r>
        <w:rPr>
          <w:rFonts w:hint="eastAsia" w:ascii="仿宋" w:hAnsi="仿宋" w:eastAsia="仿宋" w:cs="仿宋"/>
          <w:sz w:val="32"/>
          <w:szCs w:val="32"/>
        </w:rPr>
        <w:t>支持车联网产业系列标准的制定，进一步完善健全信息通信安全与数据安全等标准。</w:t>
      </w:r>
      <w:bookmarkStart w:id="76" w:name="_Toc421044835"/>
      <w:bookmarkEnd w:id="76"/>
      <w:bookmarkStart w:id="77" w:name="_Toc421083405"/>
      <w:bookmarkEnd w:id="77"/>
      <w:bookmarkStart w:id="78" w:name="_Toc422503759"/>
      <w:bookmarkStart w:id="79" w:name="_Toc422515392"/>
      <w:bookmarkStart w:id="80" w:name="_Toc417901115"/>
    </w:p>
    <w:p>
      <w:pPr>
        <w:pStyle w:val="2"/>
        <w:numPr>
          <w:ilvl w:val="0"/>
          <w:numId w:val="2"/>
        </w:numPr>
        <w:spacing w:before="156" w:beforeLines="50" w:after="156" w:afterLines="50" w:line="240" w:lineRule="auto"/>
        <w:ind w:left="748" w:hanging="748"/>
        <w:rPr>
          <w:rFonts w:ascii="黑体" w:hAnsi="黑体" w:eastAsia="黑体" w:cs="黑体"/>
          <w:b w:val="0"/>
          <w:bCs w:val="0"/>
          <w:kern w:val="2"/>
          <w:sz w:val="32"/>
          <w:szCs w:val="32"/>
        </w:rPr>
      </w:pPr>
      <w:bookmarkStart w:id="81" w:name="_Toc485375022"/>
      <w:r>
        <w:rPr>
          <w:rFonts w:hint="eastAsia" w:ascii="黑体" w:hAnsi="黑体" w:eastAsia="黑体" w:cs="黑体"/>
          <w:b w:val="0"/>
          <w:bCs w:val="0"/>
          <w:kern w:val="2"/>
          <w:sz w:val="32"/>
          <w:szCs w:val="32"/>
        </w:rPr>
        <w:t>车联网产业</w:t>
      </w:r>
      <w:r>
        <w:rPr>
          <w:rFonts w:hint="eastAsia" w:ascii="黑体" w:hAnsi="黑体" w:eastAsia="黑体" w:cs="黑体"/>
          <w:b w:val="0"/>
          <w:bCs w:val="0"/>
          <w:kern w:val="2"/>
          <w:sz w:val="32"/>
          <w:szCs w:val="32"/>
          <w:lang w:eastAsia="zh-CN"/>
        </w:rPr>
        <w:t>（</w:t>
      </w:r>
      <w:r>
        <w:rPr>
          <w:rFonts w:hint="eastAsia" w:ascii="黑体" w:hAnsi="黑体" w:eastAsia="黑体" w:cs="黑体"/>
          <w:b w:val="0"/>
          <w:bCs w:val="0"/>
          <w:kern w:val="2"/>
          <w:sz w:val="32"/>
          <w:szCs w:val="32"/>
        </w:rPr>
        <w:t>信息通信</w:t>
      </w:r>
      <w:bookmarkEnd w:id="78"/>
      <w:bookmarkEnd w:id="79"/>
      <w:bookmarkEnd w:id="80"/>
      <w:r>
        <w:rPr>
          <w:rFonts w:hint="eastAsia" w:ascii="黑体" w:hAnsi="黑体" w:eastAsia="黑体" w:cs="黑体"/>
          <w:b w:val="0"/>
          <w:bCs w:val="0"/>
          <w:kern w:val="2"/>
          <w:sz w:val="32"/>
          <w:szCs w:val="32"/>
          <w:lang w:eastAsia="zh-CN"/>
        </w:rPr>
        <w:t>）</w:t>
      </w:r>
      <w:r>
        <w:rPr>
          <w:rFonts w:hint="eastAsia" w:ascii="黑体" w:hAnsi="黑体" w:eastAsia="黑体" w:cs="黑体"/>
          <w:b w:val="0"/>
          <w:bCs w:val="0"/>
          <w:kern w:val="2"/>
          <w:sz w:val="32"/>
          <w:szCs w:val="32"/>
        </w:rPr>
        <w:t>标准体系建设思路</w:t>
      </w:r>
      <w:bookmarkEnd w:id="81"/>
    </w:p>
    <w:p>
      <w:pPr>
        <w:pStyle w:val="2"/>
        <w:spacing w:before="156" w:beforeLines="50" w:after="156" w:afterLines="50" w:line="240" w:lineRule="auto"/>
        <w:ind w:firstLine="643" w:firstLineChars="200"/>
        <w:rPr>
          <w:rFonts w:ascii="楷体" w:hAnsi="楷体" w:eastAsia="楷体" w:cs="仿宋"/>
          <w:sz w:val="32"/>
          <w:szCs w:val="32"/>
        </w:rPr>
      </w:pPr>
      <w:bookmarkStart w:id="82" w:name="_Toc436730932"/>
      <w:bookmarkEnd w:id="82"/>
      <w:bookmarkStart w:id="83" w:name="_Toc436730935"/>
      <w:bookmarkEnd w:id="83"/>
      <w:bookmarkStart w:id="84" w:name="_Toc436730933"/>
      <w:bookmarkEnd w:id="84"/>
      <w:bookmarkStart w:id="85" w:name="_Toc436730936"/>
      <w:bookmarkEnd w:id="85"/>
      <w:bookmarkStart w:id="86" w:name="_Toc436730924"/>
      <w:bookmarkEnd w:id="86"/>
      <w:bookmarkStart w:id="87" w:name="_Toc436730928"/>
      <w:bookmarkEnd w:id="87"/>
      <w:bookmarkStart w:id="88" w:name="_Toc436335549"/>
      <w:bookmarkEnd w:id="88"/>
      <w:bookmarkStart w:id="89" w:name="_Toc436730925"/>
      <w:bookmarkEnd w:id="89"/>
      <w:bookmarkStart w:id="90" w:name="_Toc436730929"/>
      <w:bookmarkEnd w:id="90"/>
      <w:bookmarkStart w:id="91" w:name="_Toc436730934"/>
      <w:bookmarkEnd w:id="91"/>
      <w:bookmarkStart w:id="92" w:name="_Toc436730930"/>
      <w:bookmarkEnd w:id="92"/>
      <w:bookmarkStart w:id="93" w:name="_Toc436730927"/>
      <w:bookmarkEnd w:id="93"/>
      <w:bookmarkStart w:id="94" w:name="_Toc436730926"/>
      <w:bookmarkEnd w:id="94"/>
      <w:bookmarkStart w:id="95" w:name="_Toc436730915"/>
      <w:bookmarkEnd w:id="95"/>
      <w:bookmarkStart w:id="96" w:name="_Toc436730916"/>
      <w:bookmarkEnd w:id="96"/>
      <w:bookmarkStart w:id="97" w:name="_Toc436730917"/>
      <w:bookmarkEnd w:id="97"/>
      <w:bookmarkStart w:id="98" w:name="_Toc436730918"/>
      <w:bookmarkEnd w:id="98"/>
      <w:bookmarkStart w:id="99" w:name="_Toc436730919"/>
      <w:bookmarkEnd w:id="99"/>
      <w:bookmarkStart w:id="100" w:name="_Toc436730920"/>
      <w:bookmarkEnd w:id="100"/>
      <w:bookmarkStart w:id="101" w:name="_Toc436730921"/>
      <w:bookmarkEnd w:id="101"/>
      <w:bookmarkStart w:id="102" w:name="_Toc436730922"/>
      <w:bookmarkEnd w:id="102"/>
      <w:bookmarkStart w:id="103" w:name="_Toc436730923"/>
      <w:bookmarkEnd w:id="103"/>
      <w:bookmarkStart w:id="104" w:name="_Toc436730931"/>
      <w:bookmarkEnd w:id="104"/>
      <w:bookmarkStart w:id="105" w:name="_Toc485375023"/>
      <w:bookmarkStart w:id="106" w:name="_Toc422814428"/>
      <w:bookmarkStart w:id="107" w:name="_Toc424895864"/>
      <w:bookmarkStart w:id="108" w:name="_Toc423556886"/>
      <w:bookmarkStart w:id="109" w:name="_Toc423594874"/>
      <w:bookmarkStart w:id="110" w:name="_Toc422558684"/>
      <w:bookmarkStart w:id="111" w:name="_Toc423593803"/>
      <w:bookmarkStart w:id="112" w:name="_Toc424054739"/>
      <w:bookmarkStart w:id="113" w:name="_Toc422503760"/>
      <w:bookmarkStart w:id="114" w:name="_Toc424989627"/>
      <w:bookmarkStart w:id="115" w:name="_Toc432240304"/>
      <w:bookmarkStart w:id="116" w:name="_Toc423949890"/>
      <w:r>
        <w:rPr>
          <w:rFonts w:hint="eastAsia" w:ascii="楷体" w:hAnsi="楷体" w:eastAsia="楷体" w:cs="仿宋"/>
          <w:sz w:val="32"/>
          <w:szCs w:val="32"/>
        </w:rPr>
        <w:t>（一</w:t>
      </w:r>
      <w:r>
        <w:rPr>
          <w:rFonts w:ascii="楷体" w:hAnsi="楷体" w:eastAsia="楷体" w:cs="仿宋"/>
          <w:sz w:val="32"/>
          <w:szCs w:val="32"/>
        </w:rPr>
        <w:t>）</w:t>
      </w:r>
      <w:r>
        <w:rPr>
          <w:rFonts w:hint="eastAsia" w:ascii="楷体" w:hAnsi="楷体" w:eastAsia="楷体" w:cs="仿宋"/>
          <w:sz w:val="32"/>
          <w:szCs w:val="32"/>
        </w:rPr>
        <w:t>建设思路</w:t>
      </w:r>
      <w:bookmarkEnd w:id="105"/>
    </w:p>
    <w:p>
      <w:pPr>
        <w:widowControl w:val="0"/>
        <w:jc w:val="center"/>
        <w:rPr>
          <w:rFonts w:ascii="仿宋" w:hAnsi="仿宋" w:eastAsia="仿宋" w:cs="仿宋"/>
          <w:sz w:val="32"/>
          <w:szCs w:val="32"/>
        </w:rPr>
      </w:pPr>
      <w:r>
        <w:rPr>
          <w:rFonts w:ascii="仿宋" w:hAnsi="仿宋" w:eastAsia="仿宋" w:cs="仿宋"/>
          <w:kern w:val="2"/>
          <w:sz w:val="32"/>
          <w:szCs w:val="32"/>
          <w:lang w:val="en-US" w:eastAsia="zh-CN" w:bidi="ar-SA"/>
        </w:rPr>
        <w:pict>
          <v:shape id="图片 5" o:spid="_x0000_s1026" type="#_x0000_t75" style="height:185.95pt;width:307.9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widowControl w:val="0"/>
        <w:jc w:val="center"/>
        <w:rPr>
          <w:rFonts w:ascii="仿宋" w:hAnsi="仿宋" w:eastAsia="仿宋" w:cs="仿宋"/>
          <w:sz w:val="32"/>
          <w:szCs w:val="32"/>
        </w:rPr>
      </w:pPr>
      <w:r>
        <w:rPr>
          <w:rFonts w:hint="eastAsia" w:ascii="仿宋" w:hAnsi="仿宋" w:eastAsia="仿宋" w:cs="仿宋"/>
          <w:sz w:val="32"/>
          <w:szCs w:val="32"/>
        </w:rPr>
        <w:t>图1国家</w:t>
      </w:r>
      <w:r>
        <w:rPr>
          <w:rFonts w:ascii="仿宋" w:hAnsi="仿宋" w:eastAsia="仿宋" w:cs="仿宋"/>
          <w:sz w:val="32"/>
          <w:szCs w:val="32"/>
        </w:rPr>
        <w:t>车联网</w:t>
      </w:r>
      <w:r>
        <w:rPr>
          <w:rFonts w:hint="eastAsia" w:ascii="仿宋" w:hAnsi="仿宋" w:eastAsia="仿宋" w:cs="仿宋"/>
          <w:sz w:val="32"/>
          <w:szCs w:val="32"/>
        </w:rPr>
        <w:t>产业</w:t>
      </w:r>
      <w:r>
        <w:rPr>
          <w:rFonts w:ascii="仿宋" w:hAnsi="仿宋" w:eastAsia="仿宋" w:cs="仿宋"/>
          <w:sz w:val="32"/>
          <w:szCs w:val="32"/>
        </w:rPr>
        <w:t>标准体系</w:t>
      </w:r>
      <w:r>
        <w:rPr>
          <w:rFonts w:hint="eastAsia" w:ascii="仿宋" w:hAnsi="仿宋" w:eastAsia="仿宋" w:cs="仿宋"/>
          <w:sz w:val="32"/>
          <w:szCs w:val="32"/>
        </w:rPr>
        <w:t>建设</w:t>
      </w:r>
      <w:r>
        <w:rPr>
          <w:rFonts w:ascii="仿宋" w:hAnsi="仿宋" w:eastAsia="仿宋" w:cs="仿宋"/>
          <w:sz w:val="32"/>
          <w:szCs w:val="32"/>
        </w:rPr>
        <w:t>结构图</w:t>
      </w:r>
    </w:p>
    <w:p>
      <w:pPr>
        <w:widowControl w:val="0"/>
        <w:ind w:firstLine="640" w:firstLineChars="200"/>
        <w:jc w:val="both"/>
        <w:rPr>
          <w:rFonts w:ascii="仿宋" w:hAnsi="仿宋" w:eastAsia="仿宋" w:cs="仿宋"/>
          <w:sz w:val="32"/>
          <w:szCs w:val="32"/>
        </w:rPr>
      </w:pPr>
      <w:r>
        <w:rPr>
          <w:rFonts w:hint="eastAsia" w:ascii="仿宋" w:hAnsi="仿宋" w:eastAsia="仿宋" w:cs="仿宋"/>
          <w:sz w:val="32"/>
          <w:szCs w:val="32"/>
        </w:rPr>
        <w:t>图</w:t>
      </w:r>
      <w:r>
        <w:rPr>
          <w:rFonts w:ascii="仿宋" w:hAnsi="仿宋" w:eastAsia="仿宋" w:cs="仿宋"/>
          <w:sz w:val="32"/>
          <w:szCs w:val="32"/>
        </w:rPr>
        <w:t xml:space="preserve">l </w:t>
      </w:r>
      <w:r>
        <w:rPr>
          <w:rFonts w:hint="eastAsia" w:ascii="仿宋" w:hAnsi="仿宋" w:eastAsia="仿宋" w:cs="仿宋"/>
          <w:sz w:val="32"/>
          <w:szCs w:val="32"/>
        </w:rPr>
        <w:t>为信息通信标</w:t>
      </w:r>
      <w:r>
        <w:rPr>
          <w:rFonts w:ascii="仿宋" w:hAnsi="仿宋" w:eastAsia="仿宋" w:cs="仿宋"/>
          <w:sz w:val="32"/>
          <w:szCs w:val="32"/>
        </w:rPr>
        <w:t>准体系在国家</w:t>
      </w:r>
      <w:r>
        <w:rPr>
          <w:rFonts w:hint="eastAsia" w:ascii="仿宋" w:hAnsi="仿宋" w:eastAsia="仿宋" w:cs="仿宋"/>
          <w:sz w:val="32"/>
          <w:szCs w:val="32"/>
        </w:rPr>
        <w:t>车联</w:t>
      </w:r>
      <w:r>
        <w:rPr>
          <w:rFonts w:ascii="仿宋" w:hAnsi="仿宋" w:eastAsia="仿宋" w:cs="仿宋"/>
          <w:sz w:val="32"/>
          <w:szCs w:val="32"/>
        </w:rPr>
        <w:t>网</w:t>
      </w:r>
      <w:r>
        <w:rPr>
          <w:rFonts w:hint="eastAsia" w:ascii="仿宋" w:hAnsi="仿宋" w:eastAsia="仿宋" w:cs="仿宋"/>
          <w:sz w:val="32"/>
          <w:szCs w:val="32"/>
        </w:rPr>
        <w:t>产业标</w:t>
      </w:r>
      <w:r>
        <w:rPr>
          <w:rFonts w:ascii="仿宋" w:hAnsi="仿宋" w:eastAsia="仿宋" w:cs="仿宋"/>
          <w:sz w:val="32"/>
          <w:szCs w:val="32"/>
        </w:rPr>
        <w:t>准体系中的位置以及与其他分</w:t>
      </w:r>
      <w:r>
        <w:rPr>
          <w:rFonts w:hint="eastAsia" w:ascii="仿宋" w:hAnsi="仿宋" w:eastAsia="仿宋" w:cs="仿宋"/>
          <w:sz w:val="32"/>
          <w:szCs w:val="32"/>
        </w:rPr>
        <w:t>标</w:t>
      </w:r>
      <w:r>
        <w:rPr>
          <w:rFonts w:ascii="仿宋" w:hAnsi="仿宋" w:eastAsia="仿宋" w:cs="仿宋"/>
          <w:sz w:val="32"/>
          <w:szCs w:val="32"/>
        </w:rPr>
        <w:t>准体</w:t>
      </w:r>
      <w:r>
        <w:rPr>
          <w:rFonts w:hint="eastAsia" w:ascii="仿宋" w:hAnsi="仿宋" w:eastAsia="仿宋" w:cs="仿宋"/>
          <w:sz w:val="32"/>
          <w:szCs w:val="32"/>
        </w:rPr>
        <w:t>系间</w:t>
      </w:r>
      <w:r>
        <w:rPr>
          <w:rFonts w:ascii="仿宋" w:hAnsi="仿宋" w:eastAsia="仿宋" w:cs="仿宋"/>
          <w:sz w:val="32"/>
          <w:szCs w:val="32"/>
        </w:rPr>
        <w:t>的关系</w:t>
      </w:r>
      <w:r>
        <w:rPr>
          <w:rFonts w:hint="eastAsia" w:ascii="仿宋" w:hAnsi="仿宋" w:eastAsia="仿宋" w:cs="仿宋"/>
          <w:sz w:val="32"/>
          <w:szCs w:val="32"/>
        </w:rPr>
        <w:t>。</w:t>
      </w:r>
    </w:p>
    <w:p>
      <w:pPr>
        <w:widowControl w:val="0"/>
        <w:ind w:firstLine="640" w:firstLineChars="200"/>
        <w:jc w:val="both"/>
        <w:rPr>
          <w:rFonts w:ascii="仿宋" w:hAnsi="仿宋" w:eastAsia="仿宋"/>
          <w:sz w:val="32"/>
          <w:szCs w:val="32"/>
        </w:rPr>
      </w:pPr>
      <w:r>
        <w:rPr>
          <w:rFonts w:hint="eastAsia" w:ascii="仿宋" w:hAnsi="仿宋" w:eastAsia="仿宋" w:cs="仿宋"/>
          <w:sz w:val="32"/>
          <w:szCs w:val="32"/>
          <w:lang w:eastAsia="zh-CN"/>
        </w:rPr>
        <w:t>车联网产业（信息通信）</w:t>
      </w:r>
      <w:r>
        <w:rPr>
          <w:rFonts w:hint="eastAsia" w:ascii="仿宋" w:hAnsi="仿宋" w:eastAsia="仿宋" w:cs="仿宋"/>
          <w:sz w:val="32"/>
          <w:szCs w:val="32"/>
        </w:rPr>
        <w:t>标准体系以新一代信息通信技术的应用为切入点，以突破关键技术、培育典型应用为导向，促进技术创新和产业发展。着力研究</w:t>
      </w:r>
      <w:r>
        <w:rPr>
          <w:rFonts w:ascii="仿宋" w:hAnsi="仿宋" w:eastAsia="仿宋" w:cs="仿宋"/>
          <w:sz w:val="32"/>
          <w:szCs w:val="32"/>
        </w:rPr>
        <w:t>LTE-V2X</w:t>
      </w:r>
      <w:r>
        <w:rPr>
          <w:rFonts w:hint="eastAsia" w:ascii="仿宋" w:hAnsi="仿宋" w:eastAsia="仿宋" w:cs="仿宋"/>
          <w:sz w:val="32"/>
          <w:szCs w:val="32"/>
        </w:rPr>
        <w:t>、</w:t>
      </w:r>
      <w:r>
        <w:rPr>
          <w:rFonts w:ascii="仿宋" w:hAnsi="仿宋" w:eastAsia="仿宋" w:cs="仿宋"/>
          <w:sz w:val="32"/>
          <w:szCs w:val="32"/>
        </w:rPr>
        <w:t>5G</w:t>
      </w:r>
      <w:r>
        <w:rPr>
          <w:rFonts w:hint="eastAsia" w:ascii="仿宋" w:hAnsi="仿宋" w:eastAsia="仿宋" w:cs="仿宋"/>
          <w:sz w:val="32"/>
          <w:szCs w:val="32"/>
        </w:rPr>
        <w:t>等新技术在车联网产业中的应用，制定相关的技术、产品以及应用服务标准，力争通过标准的协调和引领作用，整合相关数据资源，构建大数据和服务平台，促进不同部门和行业间车联网产业数据流通，培育车联网产业典型应用，实现车、路、人、云的有效互联互通。</w:t>
      </w:r>
    </w:p>
    <w:p>
      <w:pPr>
        <w:spacing w:before="156" w:beforeLines="50" w:after="156" w:afterLines="50"/>
        <w:ind w:firstLine="640" w:firstLineChars="200"/>
        <w:jc w:val="both"/>
        <w:rPr>
          <w:rFonts w:eastAsia="华文仿宋"/>
          <w:kern w:val="0"/>
          <w:sz w:val="32"/>
          <w:szCs w:val="32"/>
        </w:rPr>
      </w:pPr>
      <w:r>
        <w:rPr>
          <w:rFonts w:hint="eastAsia" w:ascii="仿宋" w:hAnsi="仿宋" w:eastAsia="仿宋" w:cs="仿宋"/>
          <w:sz w:val="32"/>
          <w:szCs w:val="32"/>
          <w:lang w:eastAsia="zh-CN"/>
        </w:rPr>
        <w:t>车联网产业（信息通信）</w:t>
      </w:r>
      <w:r>
        <w:rPr>
          <w:rFonts w:hint="eastAsia" w:ascii="仿宋" w:hAnsi="仿宋" w:eastAsia="仿宋" w:cs="仿宋"/>
          <w:sz w:val="32"/>
          <w:szCs w:val="32"/>
        </w:rPr>
        <w:t>标准体系的构建应当是一个不断完善和调整的动态过程，随着信息技术的不断发展，新的车联网产业服务业态不断涌现，标准体系也将不断更新。在技术上，以开放兼容的视野给各种技术路径选择预留空间。通过标准制定和研发过程，为我国</w:t>
      </w:r>
      <w:r>
        <w:rPr>
          <w:rFonts w:hint="eastAsia" w:ascii="仿宋" w:hAnsi="仿宋" w:eastAsia="仿宋" w:cs="仿宋"/>
          <w:sz w:val="32"/>
          <w:szCs w:val="32"/>
          <w:lang w:eastAsia="zh-CN"/>
        </w:rPr>
        <w:t>车联网产业（信息通信）</w:t>
      </w:r>
      <w:r>
        <w:rPr>
          <w:rFonts w:hint="eastAsia" w:ascii="仿宋" w:hAnsi="仿宋" w:eastAsia="仿宋" w:cs="仿宋"/>
          <w:sz w:val="32"/>
          <w:szCs w:val="32"/>
        </w:rPr>
        <w:t>产业发展开辟路径，指明方向，制造机会。</w:t>
      </w:r>
    </w:p>
    <w:p>
      <w:pPr>
        <w:pStyle w:val="2"/>
        <w:spacing w:before="156" w:beforeLines="50" w:after="156" w:afterLines="50" w:line="240" w:lineRule="auto"/>
        <w:ind w:firstLine="643" w:firstLineChars="200"/>
        <w:rPr>
          <w:rFonts w:ascii="楷体" w:hAnsi="楷体" w:eastAsia="楷体" w:cs="仿宋"/>
          <w:sz w:val="32"/>
          <w:szCs w:val="32"/>
        </w:rPr>
      </w:pPr>
      <w:bookmarkStart w:id="117" w:name="_Toc485375024"/>
      <w:r>
        <w:rPr>
          <w:rFonts w:hint="eastAsia" w:ascii="楷体" w:hAnsi="楷体" w:eastAsia="楷体" w:cs="仿宋"/>
          <w:sz w:val="32"/>
          <w:szCs w:val="32"/>
        </w:rPr>
        <w:t>（二</w:t>
      </w:r>
      <w:r>
        <w:rPr>
          <w:rFonts w:ascii="楷体" w:hAnsi="楷体" w:eastAsia="楷体" w:cs="仿宋"/>
          <w:sz w:val="32"/>
          <w:szCs w:val="32"/>
        </w:rPr>
        <w:t>）</w:t>
      </w:r>
      <w:r>
        <w:rPr>
          <w:rFonts w:hint="eastAsia" w:ascii="楷体" w:hAnsi="楷体" w:eastAsia="楷体" w:cs="仿宋"/>
          <w:sz w:val="32"/>
          <w:szCs w:val="32"/>
        </w:rPr>
        <w:t>技术结构图</w:t>
      </w:r>
      <w:bookmarkEnd w:id="117"/>
    </w:p>
    <w:p>
      <w:pPr>
        <w:widowControl w:val="0"/>
        <w:ind w:firstLine="420"/>
        <w:jc w:val="center"/>
      </w:pPr>
      <w:r>
        <w:rPr>
          <w:rFonts w:ascii="Times New Roman" w:hAnsi="Times New Roman" w:eastAsia="宋体" w:cs="Times New Roman"/>
          <w:kern w:val="2"/>
          <w:sz w:val="21"/>
          <w:szCs w:val="21"/>
          <w:lang w:val="en-US" w:eastAsia="zh-CN" w:bidi="ar-SA"/>
        </w:rPr>
        <w:pict>
          <v:shape id="图片 1" o:spid="_x0000_s1027" type="#_x0000_t75" style="height:382.1pt;width:350.8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widowControl w:val="0"/>
        <w:ind w:firstLine="420"/>
        <w:jc w:val="center"/>
        <w:rPr>
          <w:b/>
          <w:bCs/>
        </w:rPr>
      </w:pPr>
      <w:r>
        <w:rPr>
          <w:rFonts w:hint="eastAsia" w:ascii="仿宋" w:hAnsi="仿宋" w:eastAsia="仿宋" w:cs="仿宋"/>
          <w:b/>
          <w:bCs/>
          <w:sz w:val="32"/>
          <w:szCs w:val="32"/>
        </w:rPr>
        <w:t>图</w:t>
      </w:r>
      <w:r>
        <w:rPr>
          <w:rFonts w:ascii="仿宋" w:hAnsi="仿宋" w:eastAsia="仿宋" w:cs="仿宋"/>
          <w:b/>
          <w:bCs/>
          <w:sz w:val="32"/>
          <w:szCs w:val="32"/>
        </w:rPr>
        <w:t xml:space="preserve">2 </w:t>
      </w:r>
      <w:r>
        <w:rPr>
          <w:rFonts w:hint="eastAsia" w:ascii="仿宋" w:hAnsi="仿宋" w:eastAsia="仿宋" w:cs="仿宋"/>
          <w:b/>
          <w:bCs/>
          <w:sz w:val="32"/>
          <w:szCs w:val="32"/>
          <w:lang w:eastAsia="zh-CN"/>
        </w:rPr>
        <w:t>车联网产业（信息通信）</w:t>
      </w:r>
      <w:r>
        <w:rPr>
          <w:rFonts w:hint="eastAsia" w:ascii="仿宋" w:hAnsi="仿宋" w:eastAsia="仿宋" w:cs="仿宋"/>
          <w:b/>
          <w:bCs/>
          <w:sz w:val="32"/>
          <w:szCs w:val="32"/>
        </w:rPr>
        <w:t>标准体系技术结构图</w:t>
      </w:r>
    </w:p>
    <w:p>
      <w:pPr>
        <w:widowControl w:val="0"/>
        <w:ind w:firstLine="640" w:firstLineChars="200"/>
        <w:jc w:val="both"/>
        <w:rPr>
          <w:rFonts w:ascii="仿宋" w:hAnsi="仿宋" w:eastAsia="仿宋"/>
          <w:color w:val="000000"/>
          <w:sz w:val="32"/>
          <w:szCs w:val="32"/>
        </w:rPr>
      </w:pPr>
      <w:r>
        <w:rPr>
          <w:rFonts w:hint="eastAsia" w:ascii="仿宋" w:hAnsi="仿宋" w:eastAsia="仿宋" w:cs="仿宋"/>
          <w:sz w:val="32"/>
          <w:szCs w:val="32"/>
          <w:lang w:eastAsia="zh-CN"/>
        </w:rPr>
        <w:t>车联网产业（信息通信）</w:t>
      </w:r>
      <w:r>
        <w:rPr>
          <w:rFonts w:hint="eastAsia" w:ascii="仿宋" w:hAnsi="仿宋" w:eastAsia="仿宋" w:cs="仿宋"/>
          <w:sz w:val="32"/>
          <w:szCs w:val="32"/>
        </w:rPr>
        <w:t>标准体系技术结构图如图</w:t>
      </w:r>
      <w:r>
        <w:rPr>
          <w:rFonts w:ascii="仿宋" w:hAnsi="仿宋" w:eastAsia="仿宋" w:cs="仿宋"/>
          <w:sz w:val="32"/>
          <w:szCs w:val="32"/>
        </w:rPr>
        <w:t>2</w:t>
      </w:r>
      <w:r>
        <w:rPr>
          <w:rFonts w:hint="eastAsia" w:ascii="仿宋" w:hAnsi="仿宋" w:eastAsia="仿宋" w:cs="仿宋"/>
          <w:sz w:val="32"/>
          <w:szCs w:val="32"/>
        </w:rPr>
        <w:t>，是从技术角度对车联网产业中涉及信息通信的关键标准进行全面梳理，</w:t>
      </w:r>
      <w:r>
        <w:rPr>
          <w:rFonts w:hint="eastAsia" w:ascii="仿宋" w:hAnsi="仿宋" w:eastAsia="仿宋" w:cs="仿宋"/>
          <w:color w:val="000000"/>
          <w:sz w:val="32"/>
          <w:szCs w:val="32"/>
        </w:rPr>
        <w:t>分为感知层（端）、网络层（管）和应用层（云）三个层次，并以共性基础技术和安全技术为支撑。体系架构</w:t>
      </w:r>
      <w:r>
        <w:rPr>
          <w:rFonts w:hint="eastAsia" w:ascii="仿宋" w:hAnsi="仿宋" w:eastAsia="仿宋" w:cs="仿宋"/>
          <w:sz w:val="32"/>
          <w:szCs w:val="32"/>
        </w:rPr>
        <w:t>按照</w:t>
      </w:r>
      <w:r>
        <w:rPr>
          <w:rFonts w:ascii="仿宋" w:hAnsi="仿宋" w:eastAsia="仿宋" w:cs="仿宋"/>
          <w:sz w:val="32"/>
          <w:szCs w:val="32"/>
        </w:rPr>
        <w:t xml:space="preserve"> </w:t>
      </w:r>
      <w:r>
        <w:rPr>
          <w:rFonts w:hint="eastAsia" w:ascii="仿宋" w:hAnsi="仿宋" w:eastAsia="仿宋" w:cs="仿宋"/>
          <w:sz w:val="32"/>
          <w:szCs w:val="32"/>
        </w:rPr>
        <w:t>“端</w:t>
      </w:r>
      <w:r>
        <w:rPr>
          <w:rFonts w:ascii="仿宋" w:hAnsi="仿宋" w:eastAsia="仿宋" w:cs="仿宋"/>
          <w:sz w:val="32"/>
          <w:szCs w:val="32"/>
        </w:rPr>
        <w:t>—</w:t>
      </w:r>
      <w:r>
        <w:rPr>
          <w:rFonts w:hint="eastAsia" w:ascii="仿宋" w:hAnsi="仿宋" w:eastAsia="仿宋" w:cs="仿宋"/>
          <w:sz w:val="32"/>
          <w:szCs w:val="32"/>
        </w:rPr>
        <w:t>管</w:t>
      </w:r>
      <w:r>
        <w:rPr>
          <w:rFonts w:ascii="仿宋" w:hAnsi="仿宋" w:eastAsia="仿宋" w:cs="仿宋"/>
          <w:sz w:val="32"/>
          <w:szCs w:val="32"/>
        </w:rPr>
        <w:t>—</w:t>
      </w:r>
      <w:r>
        <w:rPr>
          <w:rFonts w:hint="eastAsia" w:ascii="仿宋" w:hAnsi="仿宋" w:eastAsia="仿宋" w:cs="仿宋"/>
          <w:sz w:val="32"/>
          <w:szCs w:val="32"/>
        </w:rPr>
        <w:t>云”的方式进行划分，明确各项标准在车联网产业技术体系中的地位和作用，更好地发挥标准体系的顶层设计和指导作用。</w:t>
      </w:r>
    </w:p>
    <w:p>
      <w:pPr>
        <w:widowControl w:val="0"/>
        <w:ind w:firstLine="640" w:firstLineChars="200"/>
        <w:jc w:val="both"/>
        <w:rPr>
          <w:rFonts w:ascii="仿宋" w:hAnsi="仿宋" w:eastAsia="仿宋"/>
          <w:sz w:val="32"/>
          <w:szCs w:val="32"/>
        </w:rPr>
      </w:pPr>
      <w:r>
        <w:rPr>
          <w:rFonts w:hint="eastAsia" w:ascii="仿宋" w:hAnsi="仿宋" w:eastAsia="仿宋" w:cs="仿宋"/>
          <w:color w:val="000000"/>
          <w:sz w:val="32"/>
          <w:szCs w:val="32"/>
        </w:rPr>
        <w:t>共性基础技术主要解决车联网产业涉及的共性问题，并提供有效评估手段，主要包括天线和电磁环境兼容性等技术。</w:t>
      </w:r>
      <w:r>
        <w:rPr>
          <w:rFonts w:hint="eastAsia" w:ascii="仿宋" w:hAnsi="仿宋" w:eastAsia="仿宋" w:cs="仿宋"/>
          <w:color w:val="000000"/>
          <w:sz w:val="32"/>
          <w:szCs w:val="32"/>
          <w:lang w:eastAsia="zh-CN"/>
        </w:rPr>
        <w:t>车联网产业信息通信</w:t>
      </w:r>
      <w:r>
        <w:rPr>
          <w:rFonts w:hint="eastAsia" w:ascii="仿宋" w:hAnsi="仿宋" w:eastAsia="仿宋" w:cs="仿宋"/>
          <w:sz w:val="32"/>
          <w:szCs w:val="32"/>
        </w:rPr>
        <w:t>网络</w:t>
      </w:r>
      <w:r>
        <w:rPr>
          <w:rFonts w:hint="eastAsia" w:ascii="仿宋" w:hAnsi="仿宋" w:eastAsia="仿宋" w:cs="仿宋"/>
          <w:color w:val="000000"/>
          <w:sz w:val="32"/>
          <w:szCs w:val="32"/>
        </w:rPr>
        <w:t>的“端”是具有通信能力的车载终端和各种基础设施终端，可以实现车辆与其他车辆以及云平台之间的信息收发以及车辆和交通状态信息的共享，包括车载通信终端、路侧通信设施以及个人便携式通信终端等。“管”是利用</w:t>
      </w:r>
      <w:r>
        <w:rPr>
          <w:rFonts w:ascii="仿宋" w:hAnsi="仿宋" w:eastAsia="仿宋" w:cs="仿宋"/>
          <w:color w:val="000000"/>
          <w:sz w:val="32"/>
          <w:szCs w:val="32"/>
        </w:rPr>
        <w:t>V2X</w:t>
      </w:r>
      <w:r>
        <w:rPr>
          <w:rFonts w:hint="eastAsia" w:ascii="仿宋" w:hAnsi="仿宋" w:eastAsia="仿宋" w:cs="仿宋"/>
          <w:color w:val="000000"/>
          <w:sz w:val="32"/>
          <w:szCs w:val="32"/>
        </w:rPr>
        <w:t>、蜂窝网络等通信技术，实现车与车、车与路、车与平台、车与人等的全方位网络连接和信息交互。“云”是综合信息和服务平台，主要包括</w:t>
      </w:r>
      <w:r>
        <w:rPr>
          <w:rFonts w:hint="eastAsia" w:ascii="仿宋" w:hAnsi="仿宋" w:eastAsia="仿宋" w:cs="仿宋"/>
          <w:sz w:val="32"/>
          <w:szCs w:val="32"/>
        </w:rPr>
        <w:t>业务平台、数据平台和支撑平台，面向各种车联网产业的应用以及应用支撑系统，提供多样化的车联网产业公共服务和行业应用。</w:t>
      </w:r>
    </w:p>
    <w:bookmarkEnd w:id="106"/>
    <w:bookmarkEnd w:id="107"/>
    <w:bookmarkEnd w:id="108"/>
    <w:bookmarkEnd w:id="109"/>
    <w:bookmarkEnd w:id="110"/>
    <w:bookmarkEnd w:id="111"/>
    <w:bookmarkEnd w:id="112"/>
    <w:bookmarkEnd w:id="113"/>
    <w:bookmarkEnd w:id="114"/>
    <w:bookmarkEnd w:id="115"/>
    <w:bookmarkEnd w:id="116"/>
    <w:p>
      <w:pPr>
        <w:pStyle w:val="2"/>
        <w:numPr>
          <w:ilvl w:val="0"/>
          <w:numId w:val="2"/>
        </w:numPr>
        <w:spacing w:before="156" w:beforeLines="50" w:after="156" w:afterLines="50" w:line="240" w:lineRule="auto"/>
        <w:ind w:left="748" w:hanging="748"/>
        <w:rPr>
          <w:rFonts w:ascii="黑体" w:hAnsi="黑体" w:eastAsia="黑体" w:cs="黑体"/>
          <w:b w:val="0"/>
          <w:bCs w:val="0"/>
          <w:kern w:val="2"/>
          <w:sz w:val="32"/>
          <w:szCs w:val="32"/>
        </w:rPr>
      </w:pPr>
      <w:bookmarkStart w:id="118" w:name="_Toc485375025"/>
      <w:r>
        <w:rPr>
          <w:rFonts w:hint="eastAsia" w:ascii="黑体" w:hAnsi="黑体" w:eastAsia="黑体" w:cs="黑体"/>
          <w:b w:val="0"/>
          <w:bCs w:val="0"/>
          <w:kern w:val="2"/>
          <w:sz w:val="32"/>
          <w:szCs w:val="32"/>
          <w:lang w:eastAsia="zh-CN"/>
        </w:rPr>
        <w:t>车联网产业（信息通信）</w:t>
      </w:r>
      <w:r>
        <w:rPr>
          <w:rFonts w:hint="eastAsia" w:ascii="黑体" w:hAnsi="黑体" w:eastAsia="黑体" w:cs="黑体"/>
          <w:b w:val="0"/>
          <w:bCs w:val="0"/>
          <w:kern w:val="2"/>
          <w:sz w:val="32"/>
          <w:szCs w:val="32"/>
        </w:rPr>
        <w:t>标准体系建设内容</w:t>
      </w:r>
      <w:bookmarkEnd w:id="118"/>
    </w:p>
    <w:bookmarkEnd w:id="2"/>
    <w:bookmarkEnd w:id="3"/>
    <w:bookmarkEnd w:id="4"/>
    <w:p>
      <w:pPr>
        <w:pStyle w:val="2"/>
        <w:spacing w:before="156" w:beforeLines="50" w:after="156" w:afterLines="50" w:line="240" w:lineRule="auto"/>
        <w:ind w:firstLine="643" w:firstLineChars="200"/>
        <w:rPr>
          <w:rFonts w:ascii="楷体" w:hAnsi="楷体" w:eastAsia="楷体" w:cs="仿宋"/>
          <w:sz w:val="32"/>
          <w:szCs w:val="32"/>
        </w:rPr>
      </w:pPr>
      <w:bookmarkStart w:id="119" w:name="_Toc485375026"/>
      <w:r>
        <w:rPr>
          <w:rFonts w:hint="eastAsia" w:ascii="楷体" w:hAnsi="楷体" w:eastAsia="楷体" w:cs="仿宋"/>
          <w:sz w:val="32"/>
          <w:szCs w:val="32"/>
        </w:rPr>
        <w:t>（一）</w:t>
      </w:r>
      <w:r>
        <w:rPr>
          <w:rFonts w:hint="eastAsia" w:ascii="楷体" w:hAnsi="楷体" w:eastAsia="楷体" w:cs="仿宋"/>
          <w:sz w:val="32"/>
          <w:szCs w:val="32"/>
          <w:lang w:eastAsia="zh-CN"/>
        </w:rPr>
        <w:t>车联网产业（信息通信）</w:t>
      </w:r>
      <w:r>
        <w:rPr>
          <w:rFonts w:hint="eastAsia" w:ascii="楷体" w:hAnsi="楷体" w:eastAsia="楷体" w:cs="仿宋"/>
          <w:sz w:val="32"/>
          <w:szCs w:val="32"/>
        </w:rPr>
        <w:t>标准体系结构图</w:t>
      </w:r>
      <w:bookmarkEnd w:id="119"/>
    </w:p>
    <w:p>
      <w:pPr>
        <w:ind w:firstLine="640" w:firstLineChars="200"/>
        <w:jc w:val="both"/>
      </w:pPr>
      <w:r>
        <w:rPr>
          <w:rFonts w:hint="eastAsia" w:ascii="仿宋" w:hAnsi="仿宋" w:eastAsia="仿宋" w:cs="仿宋"/>
          <w:sz w:val="32"/>
          <w:szCs w:val="32"/>
          <w:lang w:eastAsia="zh-CN"/>
        </w:rPr>
        <w:t>车联网产业（信息通信）</w:t>
      </w:r>
      <w:r>
        <w:rPr>
          <w:rFonts w:hint="eastAsia" w:ascii="仿宋" w:hAnsi="仿宋" w:eastAsia="仿宋" w:cs="仿宋"/>
          <w:sz w:val="32"/>
          <w:szCs w:val="32"/>
        </w:rPr>
        <w:t>标准体系主要包括基础标准、通信协议和设备、业务与应用、网络与数据安全标准</w:t>
      </w:r>
      <w:r>
        <w:rPr>
          <w:rFonts w:ascii="仿宋" w:hAnsi="仿宋" w:eastAsia="仿宋" w:cs="仿宋"/>
          <w:sz w:val="32"/>
          <w:szCs w:val="32"/>
        </w:rPr>
        <w:t>4</w:t>
      </w:r>
      <w:r>
        <w:rPr>
          <w:rFonts w:hint="eastAsia" w:ascii="仿宋" w:hAnsi="仿宋" w:eastAsia="仿宋" w:cs="仿宋"/>
          <w:sz w:val="32"/>
          <w:szCs w:val="32"/>
        </w:rPr>
        <w:t>大部分，如图</w:t>
      </w:r>
      <w:r>
        <w:rPr>
          <w:rFonts w:ascii="仿宋" w:hAnsi="仿宋" w:eastAsia="仿宋" w:cs="仿宋"/>
          <w:sz w:val="32"/>
          <w:szCs w:val="32"/>
        </w:rPr>
        <w:t>3</w:t>
      </w:r>
      <w:r>
        <w:rPr>
          <w:rFonts w:hint="eastAsia" w:ascii="仿宋" w:hAnsi="仿宋" w:eastAsia="仿宋" w:cs="仿宋"/>
          <w:sz w:val="32"/>
          <w:szCs w:val="32"/>
        </w:rPr>
        <w:t>所示。</w:t>
      </w:r>
    </w:p>
    <w:p>
      <w:r>
        <w:rPr>
          <w:rFonts w:ascii="Times New Roman" w:hAnsi="Times New Roman" w:eastAsia="宋体" w:cs="Times New Roman"/>
          <w:kern w:val="2"/>
          <w:sz w:val="21"/>
          <w:szCs w:val="21"/>
          <w:lang w:val="en-US" w:eastAsia="zh-CN" w:bidi="ar-SA"/>
        </w:rPr>
        <w:pict>
          <v:group id="图示 1" o:spid="_x0000_s1028" style="height:637.2pt;width:415.3pt;rotation:0f;" coordorigin="0,0" coordsize="8306,12744">
            <o:lock v:ext="edit" position="f" selection="f" grouping="f" rotation="f" cropping="f" text="f" aspectratio="f"/>
            <v:rect id="Rectangle 3" o:spid="_x0000_s1029" style="position:absolute;left:0;top:0;height:12744;width:8306;rotation:0f;" o:ole="f" fillcolor="#FFFFFF" filled="f" o:preferrelative="t" stroked="f" coordsize="21600,21600">
              <v:fill on="f" color2="#FFFFFF" focus="0%"/>
              <v:imagedata gain="65536f" blacklevel="0f" gamma="0"/>
              <o:lock v:ext="edit" position="f" selection="f" grouping="f" rotation="f" cropping="f" text="f" aspectratio="f"/>
            </v:rect>
            <v:shape id="FreeForm 4" o:spid="_x0000_s1030" type="" style="position:absolute;left:3199;top:10543;height:1428;width:212;rotation:0f;" o:ole="f" fillcolor="#FFFFFF" filled="f" o:preferrelative="t" stroked="t" coordorigin="0,0" coordsize="134732,907106" path="m0,0l43468,0,43468,907106,134732,907106e">
              <v:fill on="f" color2="#FFFFFF" focus="0%"/>
              <v:stroke weight="2pt" color="#000000" color2="#FFFFFF" miterlimit="2"/>
              <v:imagedata gain="65536f" blacklevel="0f" gamma="0"/>
              <o:lock v:ext="edit" position="f" selection="f" grouping="f" rotation="f" cropping="f" text="f" aspectratio="f"/>
            </v:shape>
            <v:shape id="FreeForm 5" o:spid="_x0000_s1031" type="" style="position:absolute;left:3199;top:10543;height:843;width:212;rotation:0f;" o:ole="f" fillcolor="#FFFFFF" filled="f" o:preferrelative="t" stroked="t" coordorigin="0,0" coordsize="134732,535579" path="m0,0l43468,0,43468,535579,134732,535579e">
              <v:fill on="f" color2="#FFFFFF" focus="0%"/>
              <v:stroke weight="2pt" color="#000000" color2="#FFFFFF" miterlimit="2"/>
              <v:imagedata gain="65536f" blacklevel="0f" gamma="0"/>
              <o:lock v:ext="edit" position="f" selection="f" grouping="f" rotation="f" cropping="f" text="f" aspectratio="f"/>
            </v:shape>
            <v:shape id="FreeForm 6" o:spid="_x0000_s1032" type="" style="position:absolute;left:3199;top:10543;height:258;width:212;rotation:0f;" o:ole="f" fillcolor="#FFFFFF" filled="f" o:preferrelative="t" stroked="t" coordorigin="0,0" coordsize="134732,164051" path="m0,0l43468,0,43468,164051,134732,164051e">
              <v:fill on="f" color2="#FFFFFF" focus="0%"/>
              <v:stroke weight="2pt" color="#000000" color2="#FFFFFF" miterlimit="2"/>
              <v:imagedata gain="65536f" blacklevel="0f" gamma="0"/>
              <o:lock v:ext="edit" position="f" selection="f" grouping="f" rotation="f" cropping="f" text="f" aspectratio="f"/>
            </v:shape>
            <v:shape id="FreeForm 7" o:spid="_x0000_s1033" type="" style="position:absolute;left:3199;top:10271;height:272;width:212;rotation:0f;" o:ole="f" fillcolor="#FFFFFF" filled="f" o:preferrelative="t" stroked="t" coordorigin="0,0" coordsize="134732,172736" path="m0,172736l43468,172736,43468,0,134732,0e">
              <v:fill on="f" color2="#FFFFFF" focus="0%"/>
              <v:stroke weight="2pt" color="#000000" color2="#FFFFFF" miterlimit="2"/>
              <v:imagedata gain="65536f" blacklevel="0f" gamma="0"/>
              <o:lock v:ext="edit" position="f" selection="f" grouping="f" rotation="f" cropping="f" text="f" aspectratio="f"/>
            </v:shape>
            <v:shape id="FreeForm 8" o:spid="_x0000_s1034" type="" style="position:absolute;left:3199;top:9795;height:748;width:212;rotation:0f;" o:ole="f" fillcolor="#FFFFFF" filled="f" o:preferrelative="t" stroked="t" coordorigin="0,0" coordsize="134732,474786" path="m0,474786l43468,474786,43468,0,134732,0e">
              <v:fill on="f" color2="#FFFFFF" focus="0%"/>
              <v:stroke weight="2pt" color="#000000" color2="#FFFFFF" miterlimit="2"/>
              <v:imagedata gain="65536f" blacklevel="0f" gamma="0"/>
              <o:lock v:ext="edit" position="f" selection="f" grouping="f" rotation="f" cropping="f" text="f" aspectratio="f"/>
            </v:shape>
            <v:shape id="FreeForm 9" o:spid="_x0000_s1035" type="" style="position:absolute;left:3199;top:9210;height:1333;width:212;rotation:0f;" o:ole="f" fillcolor="#FFFFFF" filled="f" o:preferrelative="t" stroked="t" coordorigin="0,0" coordsize="134732,846313" path="m0,846313l43468,846313,43468,0,134732,0e">
              <v:fill on="f" color2="#FFFFFF" focus="0%"/>
              <v:stroke weight="2pt" color="#000000" color2="#FFFFFF" miterlimit="2"/>
              <v:imagedata gain="65536f" blacklevel="0f" gamma="0"/>
              <o:lock v:ext="edit" position="f" selection="f" grouping="f" rotation="f" cropping="f" text="f" aspectratio="f"/>
            </v:shape>
            <v:shape id="FreeForm 10" o:spid="_x0000_s1036" type="" style="position:absolute;left:801;top:6226;height:4317;width:330;rotation:0f;" o:ole="f" fillcolor="#FFFFFF" filled="f" o:preferrelative="t" stroked="t" coordorigin="0,0" coordsize="209304,2741263" path="m0,0l118040,0,118040,2741263,209304,2741263e">
              <v:fill on="f" color2="#FFFFFF" focus="0%"/>
              <v:stroke weight="2pt" color="#000000" color2="#FFFFFF" miterlimit="2"/>
              <v:imagedata gain="65536f" blacklevel="0f" gamma="0"/>
              <o:lock v:ext="edit" position="f" selection="f" grouping="f" rotation="f" cropping="f" text="f" aspectratio="f"/>
            </v:shape>
            <v:shape id="FreeForm 11" o:spid="_x0000_s1037" type="" style="position:absolute;left:3199;top:7207;height:1399;width:217;rotation:0f;" o:ole="f" fillcolor="#FFFFFF" filled="f" o:preferrelative="t" stroked="t" coordorigin="0,0" coordsize="137653,888380" path="m0,0l46389,0,46389,888380,137653,888380e">
              <v:fill on="f" color2="#FFFFFF" focus="0%"/>
              <v:stroke weight="2pt" color="#000000" color2="#FFFFFF" miterlimit="2"/>
              <v:imagedata gain="65536f" blacklevel="0f" gamma="0"/>
              <o:lock v:ext="edit" position="f" selection="f" grouping="f" rotation="f" cropping="f" text="f" aspectratio="f"/>
            </v:shape>
            <v:shape id="FreeForm 12" o:spid="_x0000_s1038" type="" style="position:absolute;left:3199;top:7207;height:833;width:212;rotation:0f;" o:ole="f" fillcolor="#FFFFFF" filled="f" o:preferrelative="t" stroked="t" coordorigin="0,0" coordsize="134732,528646" path="m0,0l43468,0,43468,528646,134732,528646e">
              <v:fill on="f" color2="#FFFFFF" focus="0%"/>
              <v:stroke weight="2pt" color="#000000" color2="#FFFFFF" miterlimit="2"/>
              <v:imagedata gain="65536f" blacklevel="0f" gamma="0"/>
              <o:lock v:ext="edit" position="f" selection="f" grouping="f" rotation="f" cropping="f" text="f" aspectratio="f"/>
            </v:shape>
            <v:shape id="FreeForm 13" o:spid="_x0000_s1039" type="" style="position:absolute;left:3199;top:7207;height:227;width:243;rotation:0f;" o:ole="f" fillcolor="#FFFFFF" filled="f" o:preferrelative="t" stroked="t" coordorigin="0,0" coordsize="154153,144123" path="m0,0l62889,0,62889,144123,154153,144123e">
              <v:fill on="f" color2="#FFFFFF" focus="0%"/>
              <v:stroke weight="2pt" color="#000000" color2="#FFFFFF" miterlimit="2"/>
              <v:imagedata gain="65536f" blacklevel="0f" gamma="0"/>
              <o:lock v:ext="edit" position="f" selection="f" grouping="f" rotation="f" cropping="f" text="f" aspectratio="f"/>
            </v:shape>
            <v:shape id="FreeForm 14" o:spid="_x0000_s1040" type="" style="position:absolute;left:3199;top:6869;height:338;width:212;rotation:0f;" o:ole="f" fillcolor="#FFFFFF" filled="f" o:preferrelative="t" stroked="t" coordorigin="0,0" coordsize="134732,214407" path="m0,214407l43468,214407,43468,0,134732,0e">
              <v:fill on="f" color2="#FFFFFF" focus="0%"/>
              <v:stroke weight="2pt" color="#000000" color2="#FFFFFF" miterlimit="2"/>
              <v:imagedata gain="65536f" blacklevel="0f" gamma="0"/>
              <o:lock v:ext="edit" position="f" selection="f" grouping="f" rotation="f" cropping="f" text="f" aspectratio="f"/>
            </v:shape>
            <v:shape id="FreeForm 15" o:spid="_x0000_s1041" type="" style="position:absolute;left:3199;top:6303;height:904;width:227;rotation:0f;" o:ole="f" fillcolor="#FFFFFF" filled="f" o:preferrelative="t" stroked="t" coordorigin="0,0" coordsize="144260,574131" path="m0,574131l52996,574131,52996,0,144260,0e">
              <v:fill on="f" color2="#FFFFFF" focus="0%"/>
              <v:stroke weight="2pt" color="#000000" color2="#FFFFFF" miterlimit="2"/>
              <v:imagedata gain="65536f" blacklevel="0f" gamma="0"/>
              <o:lock v:ext="edit" position="f" selection="f" grouping="f" rotation="f" cropping="f" text="f" aspectratio="f"/>
            </v:shape>
            <v:shape id="FreeForm 16" o:spid="_x0000_s1042" type="" style="position:absolute;left:3199;top:5776;height:1431;width:212;rotation:0f;" o:ole="f" fillcolor="#FFFFFF" filled="f" o:preferrelative="t" stroked="t" coordorigin="0,0" coordsize="134732,908892" path="m0,908892l43468,908892,43468,0,134732,0e">
              <v:fill on="f" color2="#FFFFFF" focus="0%"/>
              <v:stroke weight="2pt" color="#000000" color2="#FFFFFF" miterlimit="2"/>
              <v:imagedata gain="65536f" blacklevel="0f" gamma="0"/>
              <o:lock v:ext="edit" position="f" selection="f" grouping="f" rotation="f" cropping="f" text="f" aspectratio="f"/>
            </v:shape>
            <v:shape id="FreeForm 17" o:spid="_x0000_s1043" type="" style="position:absolute;left:801;top:6226;height:981;width:330;rotation:0f;" o:ole="f" fillcolor="#FFFFFF" filled="f" o:preferrelative="t" stroked="t" coordorigin="0,0" coordsize="209304,623198" path="m0,0l118040,0,118040,623198,209304,623198e">
              <v:fill on="f" color2="#FFFFFF" focus="0%"/>
              <v:stroke weight="2pt" color="#000000" color2="#FFFFFF" miterlimit="2"/>
              <v:imagedata gain="65536f" blacklevel="0f" gamma="0"/>
              <o:lock v:ext="edit" position="f" selection="f" grouping="f" rotation="f" cropping="f" text="f" aspectratio="f"/>
            </v:shape>
            <v:shape id="FreeForm 18" o:spid="_x0000_s1044" type="" style="position:absolute;left:3199;top:4178;height:1026;width:212;rotation:0f;" o:ole="f" fillcolor="#FFFFFF" filled="f" o:preferrelative="t" stroked="t" coordorigin="0,0" coordsize="134732,651857" path="m0,0l43468,0,43468,651857,134732,651857e">
              <v:fill on="f" color2="#FFFFFF" focus="0%"/>
              <v:stroke weight="2pt" color="#000000" color2="#FFFFFF" miterlimit="2"/>
              <v:imagedata gain="65536f" blacklevel="0f" gamma="0"/>
              <o:lock v:ext="edit" position="f" selection="f" grouping="f" rotation="f" cropping="f" text="f" aspectratio="f"/>
            </v:shape>
            <v:shape id="FreeForm 19" o:spid="_x0000_s1045" type="" style="position:absolute;left:3199;top:4178;height:510;width:212;rotation:0f;" o:ole="f" fillcolor="#FFFFFF" filled="f" o:preferrelative="t" stroked="t" coordorigin="0,0" coordsize="134732,323753" path="m0,0l43468,0,43468,323753,134732,323753e">
              <v:fill on="f" color2="#FFFFFF" focus="0%"/>
              <v:stroke weight="2pt" color="#000000" color2="#FFFFFF" miterlimit="2"/>
              <v:imagedata gain="65536f" blacklevel="0f" gamma="0"/>
              <o:lock v:ext="edit" position="f" selection="f" grouping="f" rotation="f" cropping="f" text="f" aspectratio="f"/>
            </v:shape>
            <v:shape id="FreeForm 20" o:spid="_x0000_s1046" type="" style="position:absolute;left:3199;top:4031;height:144;width:212;rotation:0f;" o:ole="f" fillcolor="#FFFFFF" filled="f" o:preferrelative="t" stroked="t" coordorigin="0,0" coordsize="134732,91440" path="m0,93494l43468,93494,43468,45720,134732,45720e">
              <v:fill on="f" color2="#FFFFFF" focus="0%"/>
              <v:stroke weight="2pt" color="#000000" color2="#FFFFFF" miterlimit="2"/>
              <v:imagedata gain="65536f" blacklevel="0f" gamma="0"/>
              <o:lock v:ext="edit" position="f" selection="f" grouping="f" rotation="f" cropping="f" text="f" aspectratio="f"/>
            </v:shape>
            <v:shape id="FreeForm 21" o:spid="_x0000_s1047" type="" style="position:absolute;left:3199;top:3579;height:599;width:212;rotation:0f;" o:ole="f" fillcolor="#FFFFFF" filled="f" o:preferrelative="t" stroked="t" coordorigin="0,0" coordsize="134732,380220" path="m0,380220l43468,380220,43468,0,134732,0e">
              <v:fill on="f" color2="#FFFFFF" focus="0%"/>
              <v:stroke weight="2pt" color="#000000" color2="#FFFFFF" miterlimit="2"/>
              <v:imagedata gain="65536f" blacklevel="0f" gamma="0"/>
              <o:lock v:ext="edit" position="f" selection="f" grouping="f" rotation="f" cropping="f" text="f" aspectratio="f"/>
            </v:shape>
            <v:shape id="FreeForm 22" o:spid="_x0000_s1048" type="" style="position:absolute;left:3199;top:3049;height:1129;width:212;rotation:0f;" o:ole="f" fillcolor="#FFFFFF" filled="f" o:preferrelative="t" stroked="t" coordorigin="0,0" coordsize="134732,717008" path="m0,717008l43468,717008,43468,0,134732,0e">
              <v:fill on="f" color2="#FFFFFF" focus="0%"/>
              <v:stroke weight="2pt" color="#000000" color2="#FFFFFF" miterlimit="2"/>
              <v:imagedata gain="65536f" blacklevel="0f" gamma="0"/>
              <o:lock v:ext="edit" position="f" selection="f" grouping="f" rotation="f" cropping="f" text="f" aspectratio="f"/>
            </v:shape>
            <v:shape id="FreeForm 23" o:spid="_x0000_s1049" type="" style="position:absolute;left:801;top:4178;height:2048;width:330;rotation:0f;" o:ole="f" fillcolor="#FFFFFF" filled="f" o:preferrelative="t" stroked="t" coordorigin="0,0" coordsize="209304,1300413" path="m0,1300413l118040,1300413,118040,0,209304,0e">
              <v:fill on="f" color2="#FFFFFF" focus="0%"/>
              <v:stroke weight="2pt" color="#000000" color2="#FFFFFF" miterlimit="2"/>
              <v:imagedata gain="65536f" blacklevel="0f" gamma="0"/>
              <o:lock v:ext="edit" position="f" selection="f" grouping="f" rotation="f" cropping="f" text="f" aspectratio="f"/>
            </v:shape>
            <v:shape id="FreeForm 24" o:spid="_x0000_s1050" type="" style="position:absolute;left:3199;top:1382;height:1063;width:276;rotation:0f;" o:ole="f" fillcolor="#FFFFFF" filled="f" o:preferrelative="t" stroked="t" coordorigin="0,0" coordsize="174952,674882" path="m0,0l83688,0,83688,674882,174952,674882e">
              <v:fill on="f" color2="#FFFFFF" focus="0%"/>
              <v:stroke weight="2pt" color="#000000" color2="#FFFFFF" miterlimit="2"/>
              <v:imagedata gain="65536f" blacklevel="0f" gamma="0"/>
              <o:lock v:ext="edit" position="f" selection="f" grouping="f" rotation="f" cropping="f" text="f" aspectratio="f"/>
            </v:shape>
            <v:shape id="FreeForm 25" o:spid="_x0000_s1051" type="" style="position:absolute;left:3199;top:1382;height:478;width:276;rotation:0f;" o:ole="f" fillcolor="#FFFFFF" filled="f" o:preferrelative="t" stroked="t" coordorigin="0,0" coordsize="174952,303355" path="m0,0l83688,0,83688,303355,174952,303355e">
              <v:fill on="f" color2="#FFFFFF" focus="0%"/>
              <v:stroke weight="2pt" color="#000000" color2="#FFFFFF" miterlimit="2"/>
              <v:imagedata gain="65536f" blacklevel="0f" gamma="0"/>
              <o:lock v:ext="edit" position="f" selection="f" grouping="f" rotation="f" cropping="f" text="f" aspectratio="f"/>
            </v:shape>
            <v:shape id="FreeForm 26" o:spid="_x0000_s1052" type="" style="position:absolute;left:3199;top:1203;height:144;width:276;rotation:0f;" o:ole="f" fillcolor="#FFFFFF" filled="f" o:preferrelative="t" stroked="t" coordorigin="0,0" coordsize="174952,91440" path="m0,113891l83688,113891,83688,45720,174952,45720e">
              <v:fill on="f" color2="#FFFFFF" focus="0%"/>
              <v:stroke weight="2pt" color="#000000" color2="#FFFFFF" miterlimit="2"/>
              <v:imagedata gain="65536f" blacklevel="0f" gamma="0"/>
              <o:lock v:ext="edit" position="f" selection="f" grouping="f" rotation="f" cropping="f" text="f" aspectratio="f"/>
            </v:shape>
            <v:shape id="FreeForm 27" o:spid="_x0000_s1053" type="" style="position:absolute;left:3199;top:746;height:636;width:260;rotation:0f;" o:ole="f" fillcolor="#FFFFFF" filled="f" o:preferrelative="t" stroked="t" coordorigin="0,0" coordsize="165032,404247" path="m0,404247l73768,404247,73768,0,165032,0e">
              <v:fill on="f" color2="#FFFFFF" focus="0%"/>
              <v:stroke weight="2pt" color="#000000" color2="#FFFFFF" miterlimit="2"/>
              <v:imagedata gain="65536f" blacklevel="0f" gamma="0"/>
              <o:lock v:ext="edit" position="f" selection="f" grouping="f" rotation="f" cropping="f" text="f" aspectratio="f"/>
            </v:shape>
            <v:shape id="FreeForm 28" o:spid="_x0000_s1054" type="" style="position:absolute;left:3199;top:255;height:1127;width:260;rotation:0f;" o:ole="f" fillcolor="#FFFFFF" filled="f" o:preferrelative="t" stroked="t" coordorigin="0,0" coordsize="165032,715890" path="m0,715890l73768,715890,73768,0,165032,0e">
              <v:fill on="f" color2="#FFFFFF" focus="0%"/>
              <v:stroke weight="2pt" color="#000000" color2="#FFFFFF" miterlimit="2"/>
              <v:imagedata gain="65536f" blacklevel="0f" gamma="0"/>
              <o:lock v:ext="edit" position="f" selection="f" grouping="f" rotation="f" cropping="f" text="f" aspectratio="f"/>
            </v:shape>
            <v:shape id="FreeForm 29" o:spid="_x0000_s1055" type="" style="position:absolute;left:801;top:1382;height:4844;width:330;rotation:0f;" o:ole="f" fillcolor="#FFFFFF" filled="f" o:preferrelative="t" stroked="t" coordorigin="0,0" coordsize="209304,3075554" path="m0,3075554l118040,3075554,118040,0,209304,0e">
              <v:fill on="f" color2="#FFFFFF" focus="0%"/>
              <v:stroke weight="2pt" color="#000000" color2="#FFFFFF" miterlimit="2"/>
              <v:imagedata gain="65536f" blacklevel="0f" gamma="0"/>
              <o:lock v:ext="edit" position="f" selection="f" grouping="f" rotation="f" cropping="f" text="f" aspectratio="f"/>
            </v:shape>
            <v:rect id="Rectangle 30" o:spid="_x0000_s1056" style="position:absolute;left:168;top:4101;height:4250;width:633;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0.80pt,0.80pt,0.80pt,0.80pt">
                <w:txbxContent>
                  <w:p>
                    <w:pPr>
                      <w:spacing w:beforeLines="0" w:afterLines="35" w:line="216" w:lineRule="auto"/>
                      <w:ind w:left="0" w:firstLine="0"/>
                      <w:jc w:val="center"/>
                      <w:rPr>
                        <w:rFonts w:ascii="Times New Roman" w:eastAsia="宋体" w:cs="Times New Roman"/>
                        <w:b w:val="0"/>
                        <w:kern w:val="24"/>
                        <w:sz w:val="32"/>
                        <w:szCs w:val="32"/>
                      </w:rPr>
                    </w:pPr>
                    <w:r>
                      <w:rPr>
                        <w:rFonts w:ascii="Times New Roman" w:eastAsia="宋体" w:cs="Times New Roman"/>
                        <w:b w:val="0"/>
                        <w:kern w:val="24"/>
                        <w:sz w:val="32"/>
                        <w:szCs w:val="32"/>
                      </w:rPr>
                      <w:t xml:space="preserve">B </w:t>
                    </w:r>
                    <w:r>
                      <w:rPr>
                        <w:rFonts w:ascii="Times New Roman" w:eastAsia="宋体" w:cs="Times New Roman"/>
                        <w:b w:val="0"/>
                        <w:kern w:val="24"/>
                        <w:sz w:val="32"/>
                        <w:szCs w:val="32"/>
                      </w:rPr>
                      <w:br/>
                    </w:r>
                    <w:r>
                      <w:rPr>
                        <w:rFonts w:ascii="Times New Roman" w:eastAsia="宋体" w:cs="Times New Roman"/>
                        <w:b w:val="0"/>
                        <w:kern w:val="24"/>
                        <w:sz w:val="32"/>
                        <w:szCs w:val="32"/>
                      </w:rPr>
                      <w:t>信息通信标准体系</w:t>
                    </w:r>
                  </w:p>
                </w:txbxContent>
              </v:textbox>
            </v:rect>
            <v:rect id="Rectangle 31" o:spid="_x0000_s1057" style="position:absolute;left:1131;top:939;height:887;width:2068;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BA 基础</w:t>
                    </w:r>
                  </w:p>
                </w:txbxContent>
              </v:textbox>
            </v:rect>
            <v:rect id="Rectangle 32" o:spid="_x0000_s1058" style="position:absolute;left:3459;top:52;height:406;width:4609;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BAA 术语和定义</w:t>
                    </w:r>
                  </w:p>
                </w:txbxContent>
              </v:textbox>
            </v:rect>
            <v:rect id="Rectangle 33" o:spid="_x0000_s1059" style="position:absolute;left:3459;top:543;height:405;width:4609;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BAB 移动互联人车交互</w:t>
                    </w:r>
                  </w:p>
                </w:txbxContent>
              </v:textbox>
            </v:rect>
            <v:rect id="Rectangle 34" o:spid="_x0000_s1060" style="position:absolute;left:3475;top:1072;height:406;width:4609;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BAC 电磁环境兼容性</w:t>
                    </w:r>
                  </w:p>
                </w:txbxContent>
              </v:textbox>
            </v:rect>
            <v:rect id="Rectangle 35" o:spid="_x0000_s1061" style="position:absolute;left:3475;top:1657;height:406;width:4609;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BAD 天线技术</w:t>
                    </w:r>
                  </w:p>
                </w:txbxContent>
              </v:textbox>
            </v:rect>
            <v:rect id="Rectangle 36" o:spid="_x0000_s1062" style="position:absolute;left:3475;top:2242;height:406;width:4609;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BAE 无线电源</w:t>
                    </w:r>
                  </w:p>
                </w:txbxContent>
              </v:textbox>
            </v:rect>
            <v:rect id="Rectangle 37" o:spid="_x0000_s1063" style="position:absolute;left:1131;top:3735;height:886;width:2068;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0"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BB 通信协议和设备技术标准</w:t>
                    </w:r>
                  </w:p>
                </w:txbxContent>
              </v:textbox>
            </v:rect>
            <v:rect id="Rectangle 38" o:spid="_x0000_s1064" style="position:absolute;left:3411;top:2846;height:405;width:4609;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BBA LTE-V2X技术</w:t>
                    </w:r>
                  </w:p>
                </w:txbxContent>
              </v:textbox>
            </v:rect>
            <v:rect id="Rectangle 39" o:spid="_x0000_s1065" style="position:absolute;left:3411;top:3376;height:406;width:4609;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40"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BBB 5G eV2X技术</w:t>
                    </w:r>
                  </w:p>
                </w:txbxContent>
              </v:textbox>
            </v:rect>
            <v:rect id="Rectangle 40" o:spid="_x0000_s1066" style="position:absolute;left:3411;top:3900;height:405;width:4609;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BBC 卫星通讯</w:t>
                    </w:r>
                  </w:p>
                </w:txbxContent>
              </v:textbox>
            </v:rect>
            <v:rect id="Rectangle 41" o:spid="_x0000_s1067" style="position:absolute;left:3411;top:4485;height:405;width:4609;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BBD 导航与定位</w:t>
                    </w:r>
                  </w:p>
                </w:txbxContent>
              </v:textbox>
            </v:rect>
            <v:rect id="Rectangle 42" o:spid="_x0000_s1068" style="position:absolute;left:3411;top:5002;height:405;width:4609;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BBE 车载通信系统</w:t>
                    </w:r>
                  </w:p>
                </w:txbxContent>
              </v:textbox>
            </v:rect>
            <v:rect id="Rectangle 43" o:spid="_x0000_s1069" style="position:absolute;left:1131;top:6764;height:886;width:2068;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BC 业务与应用</w:t>
                    </w:r>
                  </w:p>
                </w:txbxContent>
              </v:textbox>
            </v:rect>
            <v:rect id="Rectangle 44" o:spid="_x0000_s1070" style="position:absolute;left:3411;top:5573;height:406;width:4609;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BCA 效率出行类</w:t>
                    </w:r>
                  </w:p>
                </w:txbxContent>
              </v:textbox>
            </v:rect>
            <v:rect id="Rectangle 45" o:spid="_x0000_s1071" style="position:absolute;left:3426;top:6084;height:438;width:4591;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BCB 主动安全类</w:t>
                    </w:r>
                  </w:p>
                </w:txbxContent>
              </v:textbox>
            </v:rect>
            <v:rect id="Rectangle 46" o:spid="_x0000_s1072" style="position:absolute;left:3411;top:6667;height:405;width:4609;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BCC 信息通信平台类</w:t>
                    </w:r>
                  </w:p>
                </w:txbxContent>
              </v:textbox>
            </v:rect>
            <v:rect id="Rectangle 47" o:spid="_x0000_s1073" style="position:absolute;left:3442;top:7231;height:406;width:4609;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BCD 车载紧急救援</w:t>
                    </w:r>
                  </w:p>
                </w:txbxContent>
              </v:textbox>
            </v:rect>
            <v:rect id="Rectangle 48" o:spid="_x0000_s1074" style="position:absolute;left:3411;top:7837;height:405;width:4609;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BCE 信息共享和使用</w:t>
                    </w:r>
                  </w:p>
                </w:txbxContent>
              </v:textbox>
            </v:rect>
            <v:rect id="Rectangle 49" o:spid="_x0000_s1075" style="position:absolute;left:3416;top:8403;height:406;width:4609;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BCF 基础数据和云服务</w:t>
                    </w:r>
                  </w:p>
                </w:txbxContent>
              </v:textbox>
            </v:rect>
            <v:rect id="Rectangle 50" o:spid="_x0000_s1076" style="position:absolute;left:1131;top:10100;height:886;width:2068;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BD 网络与数据安全</w:t>
                    </w:r>
                  </w:p>
                </w:txbxContent>
              </v:textbox>
            </v:rect>
            <v:rect id="Rectangle 51" o:spid="_x0000_s1077" style="position:absolute;left:3411;top:9007;height:406;width:4609;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BDA 安全体系架构</w:t>
                    </w:r>
                  </w:p>
                </w:txbxContent>
              </v:textbox>
            </v:rect>
            <v:rect id="Rectangle 52" o:spid="_x0000_s1078" style="position:absolute;left:3411;top:9592;height:406;width:4609;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BDB 通信安全</w:t>
                    </w:r>
                  </w:p>
                </w:txbxContent>
              </v:textbox>
            </v:rect>
            <v:rect id="Rectangle 53" o:spid="_x0000_s1079" style="position:absolute;left:3411;top:10068;height:405;width:4609;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wordWrap/>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BDC 数据安全</w:t>
                    </w:r>
                  </w:p>
                </w:txbxContent>
              </v:textbox>
            </v:rect>
            <v:rect id="Rectangle 54" o:spid="_x0000_s1080" style="position:absolute;left:3411;top:10598;height:406;width:4609;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wordWrap/>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BDD 网络安全防护</w:t>
                    </w:r>
                  </w:p>
                </w:txbxContent>
              </v:textbox>
            </v:rect>
            <v:rect id="Rectangle 55" o:spid="_x0000_s1081" style="position:absolute;left:3411;top:11183;height:406;width:4609;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BDE 安全监测</w:t>
                    </w:r>
                  </w:p>
                </w:txbxContent>
              </v:textbox>
            </v:rect>
            <v:rect id="Rectangle 56" o:spid="_x0000_s1082" style="position:absolute;left:3411;top:11768;height:406;width:4609;rotation:0f;" o:ole="f" fillcolor="#FFFFFF" filled="t" o:preferrelative="t" stroked="t" coordsize="21600,21600">
              <v:stroke weight="2pt" color="#000000" color2="#FFFFFF" miterlimit="2"/>
              <v:imagedata gain="65536f" blacklevel="0f" gamma="0"/>
              <o:lock v:ext="edit" position="f" selection="f" grouping="f" rotation="f" cropping="f" text="f" aspectratio="f"/>
              <v:textbox inset="5.67pt,0.70pt,0.70pt,0.70pt">
                <w:txbxContent>
                  <w:p>
                    <w:pPr>
                      <w:wordWrap/>
                      <w:spacing w:beforeLines="0" w:afterLines="35" w:line="216" w:lineRule="auto"/>
                      <w:ind w:left="0" w:firstLine="0"/>
                      <w:jc w:val="left"/>
                      <w:rPr>
                        <w:rFonts w:ascii="Times New Roman" w:eastAsia="宋体" w:cs="Times New Roman"/>
                        <w:kern w:val="24"/>
                        <w:sz w:val="28"/>
                        <w:szCs w:val="28"/>
                      </w:rPr>
                    </w:pPr>
                    <w:r>
                      <w:rPr>
                        <w:rFonts w:ascii="Times New Roman" w:eastAsia="宋体" w:cs="Times New Roman"/>
                        <w:kern w:val="24"/>
                        <w:sz w:val="28"/>
                        <w:szCs w:val="28"/>
                      </w:rPr>
                      <w:t>BDF 应急管理</w:t>
                    </w:r>
                  </w:p>
                </w:txbxContent>
              </v:textbox>
            </v:rect>
            <w10:wrap type="none"/>
            <w10:anchorlock/>
          </v:group>
        </w:pict>
      </w:r>
    </w:p>
    <w:p>
      <w:pPr>
        <w:jc w:val="center"/>
        <w:rPr>
          <w:rFonts w:ascii="仿宋" w:hAnsi="仿宋" w:eastAsia="仿宋"/>
          <w:b/>
          <w:bCs/>
          <w:sz w:val="32"/>
          <w:szCs w:val="32"/>
        </w:rPr>
      </w:pPr>
      <w:r>
        <w:rPr>
          <w:rFonts w:hint="eastAsia" w:ascii="仿宋" w:hAnsi="仿宋" w:eastAsia="仿宋" w:cs="仿宋"/>
          <w:b/>
          <w:bCs/>
          <w:sz w:val="32"/>
          <w:szCs w:val="32"/>
        </w:rPr>
        <w:t>图</w:t>
      </w:r>
      <w:r>
        <w:rPr>
          <w:rFonts w:ascii="仿宋" w:hAnsi="仿宋" w:eastAsia="仿宋" w:cs="仿宋"/>
          <w:b/>
          <w:bCs/>
          <w:sz w:val="32"/>
          <w:szCs w:val="32"/>
        </w:rPr>
        <w:t xml:space="preserve">3 </w:t>
      </w:r>
      <w:r>
        <w:rPr>
          <w:rFonts w:hint="eastAsia" w:ascii="仿宋" w:hAnsi="仿宋" w:eastAsia="仿宋" w:cs="仿宋"/>
          <w:b/>
          <w:bCs/>
          <w:sz w:val="32"/>
          <w:szCs w:val="32"/>
          <w:lang w:eastAsia="zh-CN"/>
        </w:rPr>
        <w:t>车联网产业（信息通信）</w:t>
      </w:r>
      <w:r>
        <w:rPr>
          <w:rFonts w:hint="eastAsia" w:ascii="仿宋" w:hAnsi="仿宋" w:eastAsia="仿宋" w:cs="仿宋"/>
          <w:b/>
          <w:bCs/>
          <w:sz w:val="32"/>
          <w:szCs w:val="32"/>
        </w:rPr>
        <w:t>标准体系结构图</w:t>
      </w:r>
    </w:p>
    <w:p>
      <w:pPr>
        <w:jc w:val="center"/>
        <w:rPr>
          <w:rFonts w:ascii="仿宋" w:hAnsi="仿宋" w:eastAsia="仿宋"/>
          <w:b/>
          <w:bCs/>
          <w:sz w:val="32"/>
          <w:szCs w:val="32"/>
        </w:rPr>
      </w:pPr>
    </w:p>
    <w:p>
      <w:pPr>
        <w:pStyle w:val="2"/>
        <w:spacing w:before="156" w:beforeLines="50" w:after="156" w:afterLines="50" w:line="240" w:lineRule="auto"/>
        <w:ind w:firstLine="643" w:firstLineChars="200"/>
        <w:rPr>
          <w:rFonts w:ascii="楷体" w:hAnsi="楷体" w:eastAsia="楷体" w:cs="仿宋"/>
          <w:sz w:val="32"/>
          <w:szCs w:val="32"/>
        </w:rPr>
      </w:pPr>
      <w:bookmarkStart w:id="120" w:name="_Toc482948294"/>
      <w:bookmarkEnd w:id="120"/>
      <w:bookmarkStart w:id="121" w:name="_Toc485375027"/>
      <w:bookmarkStart w:id="122" w:name="_Toc436335565"/>
      <w:r>
        <w:rPr>
          <w:rFonts w:hint="eastAsia" w:ascii="楷体" w:hAnsi="楷体" w:eastAsia="楷体" w:cs="仿宋"/>
          <w:sz w:val="32"/>
          <w:szCs w:val="32"/>
        </w:rPr>
        <w:t>（二）标准体系建设内容</w:t>
      </w:r>
      <w:bookmarkEnd w:id="121"/>
    </w:p>
    <w:p>
      <w:pPr>
        <w:pStyle w:val="172"/>
        <w:widowControl w:val="0"/>
        <w:ind w:firstLine="640"/>
        <w:jc w:val="both"/>
        <w:rPr>
          <w:rFonts w:ascii="仿宋" w:hAnsi="仿宋" w:eastAsia="仿宋"/>
          <w:sz w:val="32"/>
          <w:szCs w:val="32"/>
        </w:rPr>
      </w:pPr>
      <w:r>
        <w:rPr>
          <w:rFonts w:hint="eastAsia" w:ascii="仿宋" w:hAnsi="仿宋" w:eastAsia="仿宋" w:cs="仿宋"/>
          <w:sz w:val="32"/>
          <w:szCs w:val="32"/>
          <w:lang w:eastAsia="zh-CN"/>
        </w:rPr>
        <w:t>车联网产业（信息通信）</w:t>
      </w:r>
      <w:r>
        <w:rPr>
          <w:rFonts w:hint="eastAsia" w:ascii="仿宋" w:hAnsi="仿宋" w:eastAsia="仿宋" w:cs="仿宋"/>
          <w:sz w:val="32"/>
          <w:szCs w:val="32"/>
        </w:rPr>
        <w:t>标准体系主要包含以下内容：</w:t>
      </w:r>
    </w:p>
    <w:p>
      <w:pPr>
        <w:pStyle w:val="19"/>
        <w:spacing w:before="0" w:beforeAutospacing="0" w:after="0" w:afterAutospacing="0"/>
        <w:ind w:firstLine="643" w:firstLineChars="200"/>
        <w:jc w:val="both"/>
        <w:rPr>
          <w:rFonts w:ascii="仿宋" w:hAnsi="仿宋" w:eastAsia="仿宋" w:cs="Times New Roman"/>
          <w:b/>
          <w:bCs/>
          <w:kern w:val="2"/>
          <w:sz w:val="32"/>
          <w:szCs w:val="32"/>
        </w:rPr>
      </w:pPr>
      <w:r>
        <w:rPr>
          <w:rFonts w:ascii="仿宋" w:hAnsi="仿宋" w:eastAsia="仿宋" w:cs="仿宋"/>
          <w:b/>
          <w:bCs/>
          <w:kern w:val="2"/>
          <w:sz w:val="32"/>
          <w:szCs w:val="32"/>
        </w:rPr>
        <w:t>1.</w:t>
      </w:r>
      <w:r>
        <w:rPr>
          <w:rFonts w:hint="eastAsia" w:ascii="仿宋" w:hAnsi="仿宋" w:eastAsia="仿宋" w:cs="仿宋"/>
          <w:b/>
          <w:bCs/>
          <w:kern w:val="2"/>
          <w:sz w:val="32"/>
          <w:szCs w:val="32"/>
        </w:rPr>
        <w:t>信息通信类基础标准</w:t>
      </w:r>
    </w:p>
    <w:p>
      <w:pPr>
        <w:ind w:firstLine="640" w:firstLineChars="200"/>
        <w:jc w:val="both"/>
        <w:rPr>
          <w:rFonts w:ascii="仿宋" w:hAnsi="仿宋" w:eastAsia="仿宋"/>
          <w:sz w:val="32"/>
          <w:szCs w:val="32"/>
        </w:rPr>
      </w:pPr>
      <w:r>
        <w:rPr>
          <w:rFonts w:hint="eastAsia" w:ascii="仿宋" w:hAnsi="仿宋" w:eastAsia="仿宋" w:cs="仿宋"/>
          <w:sz w:val="32"/>
          <w:szCs w:val="32"/>
        </w:rPr>
        <w:t>信息通信类基础标准主要包括：术语和定义、移动互联人车交互标准、</w:t>
      </w:r>
      <w:r>
        <w:rPr>
          <w:rFonts w:ascii="仿宋" w:hAnsi="仿宋" w:eastAsia="仿宋" w:cs="仿宋"/>
          <w:sz w:val="32"/>
          <w:szCs w:val="32"/>
        </w:rPr>
        <w:t>电磁</w:t>
      </w:r>
      <w:r>
        <w:rPr>
          <w:rFonts w:hint="eastAsia" w:ascii="仿宋" w:hAnsi="仿宋" w:eastAsia="仿宋" w:cs="仿宋"/>
          <w:sz w:val="32"/>
          <w:szCs w:val="32"/>
        </w:rPr>
        <w:t>环境兼容性、天线技术和无线电源等。</w:t>
      </w:r>
    </w:p>
    <w:p>
      <w:pPr>
        <w:ind w:firstLine="640" w:firstLineChars="200"/>
        <w:jc w:val="both"/>
        <w:rPr>
          <w:rFonts w:ascii="仿宋" w:hAnsi="仿宋" w:eastAsia="仿宋"/>
          <w:sz w:val="32"/>
          <w:szCs w:val="32"/>
        </w:rPr>
      </w:pPr>
      <w:r>
        <w:rPr>
          <w:rFonts w:hint="eastAsia" w:ascii="仿宋" w:hAnsi="仿宋" w:eastAsia="仿宋" w:cs="仿宋"/>
          <w:sz w:val="32"/>
          <w:szCs w:val="32"/>
        </w:rPr>
        <w:t>目前移动互联人车交互技术主要涉及手机终端与智能车载终端互联的技术方案，包括支持移动互联网应用的车载智能语音交互技术要求及测试方法，移动互联汽车用户体验技术要求及测试方法等。</w:t>
      </w:r>
    </w:p>
    <w:p>
      <w:pPr>
        <w:pStyle w:val="19"/>
        <w:shd w:val="clear" w:color="auto" w:fill="FFFFFF"/>
        <w:spacing w:before="0" w:beforeAutospacing="0" w:after="0" w:afterAutospacing="0" w:line="393" w:lineRule="atLeast"/>
        <w:ind w:firstLine="640"/>
        <w:jc w:val="both"/>
        <w:rPr>
          <w:rFonts w:ascii="仿宋" w:hAnsi="仿宋" w:eastAsia="仿宋" w:cs="Times New Roman"/>
          <w:color w:val="000000"/>
          <w:sz w:val="32"/>
          <w:szCs w:val="32"/>
        </w:rPr>
      </w:pPr>
      <w:r>
        <w:rPr>
          <w:rFonts w:hint="eastAsia" w:ascii="仿宋" w:hAnsi="仿宋" w:eastAsia="仿宋" w:cs="仿宋"/>
          <w:color w:val="000000"/>
          <w:sz w:val="32"/>
          <w:szCs w:val="32"/>
        </w:rPr>
        <w:t>电磁环境兼容性标准主要围绕电磁环境与车、人之间的兼容性，即设备电磁干扰与抗干扰能力、人体电磁暴露特性评估，包括车载通信系统电磁兼容性技术要求和测试方法及人体电磁暴露限值要求和评估方法等。</w:t>
      </w:r>
    </w:p>
    <w:p>
      <w:pPr>
        <w:pStyle w:val="19"/>
        <w:shd w:val="clear" w:color="auto" w:fill="FFFFFF"/>
        <w:spacing w:before="0" w:beforeAutospacing="0" w:after="0" w:afterAutospacing="0" w:line="393" w:lineRule="atLeast"/>
        <w:ind w:firstLine="640"/>
        <w:jc w:val="both"/>
        <w:rPr>
          <w:rFonts w:ascii="仿宋" w:hAnsi="仿宋" w:eastAsia="仿宋" w:cs="Times New Roman"/>
          <w:color w:val="000000"/>
          <w:sz w:val="32"/>
          <w:szCs w:val="32"/>
        </w:rPr>
      </w:pPr>
      <w:r>
        <w:rPr>
          <w:rFonts w:hint="eastAsia" w:ascii="仿宋" w:hAnsi="仿宋" w:eastAsia="仿宋" w:cs="仿宋"/>
          <w:color w:val="000000"/>
          <w:sz w:val="32"/>
          <w:szCs w:val="32"/>
        </w:rPr>
        <w:t>车载天线技术标准主要围绕车联网产业涉及的天线性能开展研究，制定设备天线系列标准，为相关天线性能评估提供技术依据和方法。</w:t>
      </w:r>
    </w:p>
    <w:p>
      <w:pPr>
        <w:ind w:firstLine="640" w:firstLineChars="200"/>
        <w:jc w:val="both"/>
        <w:rPr>
          <w:rFonts w:ascii="仿宋" w:hAnsi="仿宋" w:eastAsia="仿宋"/>
          <w:sz w:val="32"/>
          <w:szCs w:val="32"/>
        </w:rPr>
      </w:pPr>
      <w:r>
        <w:rPr>
          <w:rFonts w:hint="eastAsia" w:ascii="仿宋" w:hAnsi="仿宋" w:eastAsia="仿宋" w:cs="仿宋"/>
          <w:sz w:val="32"/>
          <w:szCs w:val="32"/>
        </w:rPr>
        <w:t>无线电源标准主要围绕整车无线供电与车载无线充电技术提出技术要求与评估方法并进行标准化，包括电动汽车大功率无线充电系统标准等。</w:t>
      </w:r>
    </w:p>
    <w:p>
      <w:pPr>
        <w:ind w:firstLine="643" w:firstLineChars="200"/>
        <w:rPr>
          <w:rFonts w:ascii="仿宋" w:hAnsi="仿宋" w:eastAsia="仿宋"/>
          <w:b/>
          <w:bCs/>
          <w:sz w:val="32"/>
          <w:szCs w:val="32"/>
        </w:rPr>
      </w:pPr>
      <w:r>
        <w:rPr>
          <w:rFonts w:ascii="仿宋" w:hAnsi="仿宋" w:eastAsia="仿宋" w:cs="仿宋"/>
          <w:b/>
          <w:bCs/>
          <w:sz w:val="32"/>
          <w:szCs w:val="32"/>
        </w:rPr>
        <w:t>2.</w:t>
      </w:r>
      <w:r>
        <w:rPr>
          <w:rFonts w:hint="eastAsia" w:ascii="仿宋" w:hAnsi="仿宋" w:eastAsia="仿宋" w:cs="仿宋"/>
          <w:b/>
          <w:bCs/>
          <w:sz w:val="32"/>
          <w:szCs w:val="32"/>
        </w:rPr>
        <w:t>通信协议和设备技术标准</w:t>
      </w:r>
    </w:p>
    <w:p>
      <w:pPr>
        <w:ind w:firstLine="640" w:firstLineChars="200"/>
        <w:jc w:val="both"/>
        <w:rPr>
          <w:rFonts w:ascii="仿宋" w:hAnsi="仿宋" w:eastAsia="仿宋"/>
          <w:sz w:val="32"/>
          <w:szCs w:val="32"/>
        </w:rPr>
      </w:pPr>
      <w:r>
        <w:rPr>
          <w:rFonts w:hint="eastAsia" w:ascii="仿宋" w:hAnsi="仿宋" w:eastAsia="仿宋" w:cs="仿宋"/>
          <w:sz w:val="32"/>
          <w:szCs w:val="32"/>
        </w:rPr>
        <w:t>通信协议和设备技术标准主要涉及</w:t>
      </w:r>
      <w:r>
        <w:rPr>
          <w:rFonts w:ascii="仿宋" w:hAnsi="仿宋" w:eastAsia="仿宋" w:cs="仿宋"/>
          <w:sz w:val="32"/>
          <w:szCs w:val="32"/>
        </w:rPr>
        <w:t>LTE-V2X</w:t>
      </w:r>
      <w:r>
        <w:rPr>
          <w:rFonts w:hint="eastAsia" w:ascii="仿宋" w:hAnsi="仿宋" w:eastAsia="仿宋" w:cs="仿宋"/>
          <w:sz w:val="32"/>
          <w:szCs w:val="32"/>
        </w:rPr>
        <w:t>技术、</w:t>
      </w:r>
      <w:r>
        <w:rPr>
          <w:rFonts w:ascii="仿宋" w:hAnsi="仿宋" w:eastAsia="仿宋" w:cs="仿宋"/>
          <w:sz w:val="32"/>
          <w:szCs w:val="32"/>
        </w:rPr>
        <w:t>5G eV2X</w:t>
      </w:r>
      <w:r>
        <w:rPr>
          <w:rFonts w:hint="eastAsia" w:ascii="仿宋" w:hAnsi="仿宋" w:eastAsia="仿宋" w:cs="仿宋"/>
          <w:sz w:val="32"/>
          <w:szCs w:val="32"/>
        </w:rPr>
        <w:t>技术、卫星通信、</w:t>
      </w:r>
      <w:r>
        <w:rPr>
          <w:rFonts w:ascii="仿宋" w:hAnsi="仿宋" w:eastAsia="仿宋" w:cs="仿宋"/>
          <w:sz w:val="32"/>
          <w:szCs w:val="32"/>
        </w:rPr>
        <w:t>导航与</w:t>
      </w:r>
      <w:r>
        <w:rPr>
          <w:rFonts w:hint="eastAsia" w:ascii="仿宋" w:hAnsi="仿宋" w:eastAsia="仿宋" w:cs="仿宋"/>
          <w:sz w:val="32"/>
          <w:szCs w:val="32"/>
        </w:rPr>
        <w:t>定位技术和车载通信设备技术要求等方面。</w:t>
      </w:r>
    </w:p>
    <w:p>
      <w:pPr>
        <w:ind w:firstLine="640" w:firstLineChars="200"/>
        <w:jc w:val="both"/>
        <w:rPr>
          <w:rFonts w:ascii="仿宋" w:hAnsi="仿宋" w:eastAsia="仿宋"/>
          <w:sz w:val="32"/>
          <w:szCs w:val="32"/>
        </w:rPr>
      </w:pPr>
      <w:r>
        <w:rPr>
          <w:rFonts w:ascii="仿宋" w:hAnsi="仿宋" w:eastAsia="仿宋" w:cs="仿宋"/>
          <w:sz w:val="32"/>
          <w:szCs w:val="32"/>
        </w:rPr>
        <w:t>LTE-V</w:t>
      </w:r>
      <w:r>
        <w:rPr>
          <w:rFonts w:hint="eastAsia" w:ascii="仿宋" w:hAnsi="仿宋" w:eastAsia="仿宋" w:cs="仿宋"/>
          <w:sz w:val="32"/>
          <w:szCs w:val="32"/>
        </w:rPr>
        <w:t>技术标准包括：</w:t>
      </w:r>
      <w:r>
        <w:rPr>
          <w:rFonts w:ascii="仿宋" w:hAnsi="仿宋" w:eastAsia="仿宋" w:cs="仿宋"/>
          <w:sz w:val="32"/>
          <w:szCs w:val="32"/>
        </w:rPr>
        <w:t>LTE-V2X</w:t>
      </w:r>
      <w:r>
        <w:rPr>
          <w:rFonts w:hint="eastAsia" w:ascii="仿宋" w:hAnsi="仿宋" w:eastAsia="仿宋" w:cs="仿宋"/>
          <w:sz w:val="32"/>
          <w:szCs w:val="32"/>
        </w:rPr>
        <w:t>接口标准、终端设备标准、网络设备标准、网络层</w:t>
      </w:r>
      <w:r>
        <w:rPr>
          <w:rFonts w:ascii="仿宋" w:hAnsi="仿宋" w:eastAsia="仿宋" w:cs="仿宋"/>
          <w:sz w:val="32"/>
          <w:szCs w:val="32"/>
        </w:rPr>
        <w:t>/</w:t>
      </w:r>
      <w:r>
        <w:rPr>
          <w:rFonts w:hint="eastAsia" w:ascii="仿宋" w:hAnsi="仿宋" w:eastAsia="仿宋" w:cs="仿宋"/>
          <w:sz w:val="32"/>
          <w:szCs w:val="32"/>
        </w:rPr>
        <w:t>应用层标准、互操作标准等。接口标准包括</w:t>
      </w:r>
      <w:r>
        <w:rPr>
          <w:rFonts w:ascii="仿宋" w:hAnsi="仿宋" w:eastAsia="仿宋" w:cs="仿宋"/>
          <w:sz w:val="32"/>
          <w:szCs w:val="32"/>
        </w:rPr>
        <w:t>LTE-V2X</w:t>
      </w:r>
      <w:r>
        <w:rPr>
          <w:rFonts w:hint="eastAsia" w:ascii="仿宋" w:hAnsi="仿宋" w:eastAsia="仿宋" w:cs="仿宋"/>
          <w:sz w:val="32"/>
          <w:szCs w:val="32"/>
        </w:rPr>
        <w:t>的空口标准等。终端设备标准包括支持</w:t>
      </w:r>
      <w:r>
        <w:rPr>
          <w:rFonts w:ascii="仿宋" w:hAnsi="仿宋" w:eastAsia="仿宋" w:cs="仿宋"/>
          <w:sz w:val="32"/>
          <w:szCs w:val="32"/>
        </w:rPr>
        <w:t>LTE-V2X</w:t>
      </w:r>
      <w:r>
        <w:rPr>
          <w:rFonts w:hint="eastAsia" w:ascii="仿宋" w:hAnsi="仿宋" w:eastAsia="仿宋" w:cs="仿宋"/>
          <w:sz w:val="32"/>
          <w:szCs w:val="32"/>
        </w:rPr>
        <w:t>通信技术的终端设备和测试规范等。网络设备标准包括支持</w:t>
      </w:r>
      <w:r>
        <w:rPr>
          <w:rFonts w:ascii="仿宋" w:hAnsi="仿宋" w:eastAsia="仿宋" w:cs="仿宋"/>
          <w:sz w:val="32"/>
          <w:szCs w:val="32"/>
        </w:rPr>
        <w:t>LTE-V2X</w:t>
      </w:r>
      <w:r>
        <w:rPr>
          <w:rFonts w:hint="eastAsia" w:ascii="仿宋" w:hAnsi="仿宋" w:eastAsia="仿宋" w:cs="仿宋"/>
          <w:sz w:val="32"/>
          <w:szCs w:val="32"/>
        </w:rPr>
        <w:t>通信技术的基站设备规范和测试规范等。网络层</w:t>
      </w:r>
      <w:r>
        <w:rPr>
          <w:rFonts w:ascii="仿宋" w:hAnsi="仿宋" w:eastAsia="仿宋" w:cs="仿宋"/>
          <w:sz w:val="32"/>
          <w:szCs w:val="32"/>
        </w:rPr>
        <w:t>/</w:t>
      </w:r>
      <w:r>
        <w:rPr>
          <w:rFonts w:hint="eastAsia" w:ascii="仿宋" w:hAnsi="仿宋" w:eastAsia="仿宋" w:cs="仿宋"/>
          <w:sz w:val="32"/>
          <w:szCs w:val="32"/>
        </w:rPr>
        <w:t>应用层标准包括</w:t>
      </w:r>
      <w:r>
        <w:rPr>
          <w:rFonts w:ascii="仿宋" w:hAnsi="仿宋" w:eastAsia="仿宋" w:cs="仿宋"/>
          <w:sz w:val="32"/>
          <w:szCs w:val="32"/>
        </w:rPr>
        <w:t>LTE-V2X</w:t>
      </w:r>
      <w:r>
        <w:rPr>
          <w:rFonts w:hint="eastAsia" w:ascii="仿宋" w:hAnsi="仿宋" w:eastAsia="仿宋" w:cs="仿宋"/>
          <w:sz w:val="32"/>
          <w:szCs w:val="32"/>
        </w:rPr>
        <w:t>通信技术的网络层、应用层标准和相应的测试规范等。互操作标准包括支持</w:t>
      </w:r>
      <w:r>
        <w:rPr>
          <w:rFonts w:ascii="仿宋" w:hAnsi="仿宋" w:eastAsia="仿宋" w:cs="仿宋"/>
          <w:sz w:val="32"/>
          <w:szCs w:val="32"/>
        </w:rPr>
        <w:t>LTE-V2X</w:t>
      </w:r>
      <w:r>
        <w:rPr>
          <w:rFonts w:hint="eastAsia" w:ascii="仿宋" w:hAnsi="仿宋" w:eastAsia="仿宋" w:cs="仿宋"/>
          <w:sz w:val="32"/>
          <w:szCs w:val="32"/>
        </w:rPr>
        <w:t>通信技术的终端间互操作标准、终端与网络设备互操作标准等。</w:t>
      </w:r>
    </w:p>
    <w:p>
      <w:pPr>
        <w:ind w:firstLine="640" w:firstLineChars="200"/>
        <w:jc w:val="both"/>
        <w:rPr>
          <w:rFonts w:ascii="仿宋" w:hAnsi="仿宋" w:eastAsia="仿宋"/>
          <w:sz w:val="32"/>
          <w:szCs w:val="32"/>
        </w:rPr>
      </w:pPr>
      <w:r>
        <w:rPr>
          <w:rFonts w:ascii="仿宋" w:hAnsi="仿宋" w:eastAsia="仿宋" w:cs="仿宋"/>
          <w:sz w:val="32"/>
          <w:szCs w:val="32"/>
        </w:rPr>
        <w:t>5G eV2X</w:t>
      </w:r>
      <w:r>
        <w:rPr>
          <w:rFonts w:hint="eastAsia" w:ascii="仿宋" w:hAnsi="仿宋" w:eastAsia="仿宋" w:cs="仿宋"/>
          <w:sz w:val="32"/>
          <w:szCs w:val="32"/>
        </w:rPr>
        <w:t>技术标准包括：</w:t>
      </w:r>
      <w:r>
        <w:rPr>
          <w:rFonts w:ascii="仿宋" w:hAnsi="仿宋" w:eastAsia="仿宋" w:cs="仿宋"/>
          <w:sz w:val="32"/>
          <w:szCs w:val="32"/>
        </w:rPr>
        <w:t>5G eV2X</w:t>
      </w:r>
      <w:r>
        <w:rPr>
          <w:rFonts w:hint="eastAsia" w:ascii="仿宋" w:hAnsi="仿宋" w:eastAsia="仿宋" w:cs="仿宋"/>
          <w:sz w:val="32"/>
          <w:szCs w:val="32"/>
        </w:rPr>
        <w:t>的空口标准，支持</w:t>
      </w:r>
      <w:r>
        <w:rPr>
          <w:rFonts w:ascii="仿宋" w:hAnsi="仿宋" w:eastAsia="仿宋" w:cs="仿宋"/>
          <w:sz w:val="32"/>
          <w:szCs w:val="32"/>
        </w:rPr>
        <w:t>5G eV2X</w:t>
      </w:r>
      <w:r>
        <w:rPr>
          <w:rFonts w:hint="eastAsia" w:ascii="仿宋" w:hAnsi="仿宋" w:eastAsia="仿宋" w:cs="仿宋"/>
          <w:sz w:val="32"/>
          <w:szCs w:val="32"/>
        </w:rPr>
        <w:t>通信技术的终端设备规范和测试规范，支持</w:t>
      </w:r>
      <w:r>
        <w:rPr>
          <w:rFonts w:ascii="仿宋" w:hAnsi="仿宋" w:eastAsia="仿宋" w:cs="仿宋"/>
          <w:sz w:val="32"/>
          <w:szCs w:val="32"/>
        </w:rPr>
        <w:t>5G eV2X</w:t>
      </w:r>
      <w:r>
        <w:rPr>
          <w:rFonts w:hint="eastAsia" w:ascii="仿宋" w:hAnsi="仿宋" w:eastAsia="仿宋" w:cs="仿宋"/>
          <w:sz w:val="32"/>
          <w:szCs w:val="32"/>
        </w:rPr>
        <w:t>通信技术的基站设备规范和测试规范，支持</w:t>
      </w:r>
      <w:r>
        <w:rPr>
          <w:rFonts w:ascii="仿宋" w:hAnsi="仿宋" w:eastAsia="仿宋" w:cs="仿宋"/>
          <w:sz w:val="32"/>
          <w:szCs w:val="32"/>
        </w:rPr>
        <w:t>5G eV2X</w:t>
      </w:r>
      <w:r>
        <w:rPr>
          <w:rFonts w:hint="eastAsia" w:ascii="仿宋" w:hAnsi="仿宋" w:eastAsia="仿宋" w:cs="仿宋"/>
          <w:sz w:val="32"/>
          <w:szCs w:val="32"/>
        </w:rPr>
        <w:t>通信技术的终端间互操作标准、终端与网络设备互操作标准和</w:t>
      </w:r>
      <w:r>
        <w:rPr>
          <w:rFonts w:ascii="仿宋" w:hAnsi="仿宋" w:eastAsia="仿宋" w:cs="仿宋"/>
          <w:sz w:val="32"/>
          <w:szCs w:val="32"/>
        </w:rPr>
        <w:t>5G eV2X</w:t>
      </w:r>
      <w:r>
        <w:rPr>
          <w:rFonts w:hint="eastAsia" w:ascii="仿宋" w:hAnsi="仿宋" w:eastAsia="仿宋" w:cs="仿宋"/>
          <w:sz w:val="32"/>
          <w:szCs w:val="32"/>
        </w:rPr>
        <w:t>与</w:t>
      </w:r>
      <w:r>
        <w:rPr>
          <w:rFonts w:ascii="仿宋" w:hAnsi="仿宋" w:eastAsia="仿宋" w:cs="仿宋"/>
          <w:sz w:val="32"/>
          <w:szCs w:val="32"/>
        </w:rPr>
        <w:t>LTE-V2X</w:t>
      </w:r>
      <w:r>
        <w:rPr>
          <w:rFonts w:hint="eastAsia" w:ascii="仿宋" w:hAnsi="仿宋" w:eastAsia="仿宋" w:cs="仿宋"/>
          <w:sz w:val="32"/>
          <w:szCs w:val="32"/>
        </w:rPr>
        <w:t>互操作标准等，面向低延时高可靠的</w:t>
      </w:r>
      <w:r>
        <w:rPr>
          <w:rFonts w:ascii="仿宋" w:hAnsi="仿宋" w:eastAsia="仿宋" w:cs="仿宋"/>
          <w:sz w:val="32"/>
          <w:szCs w:val="32"/>
        </w:rPr>
        <w:t>5G</w:t>
      </w:r>
      <w:r>
        <w:rPr>
          <w:rFonts w:hint="eastAsia" w:ascii="仿宋" w:hAnsi="仿宋" w:eastAsia="仿宋" w:cs="仿宋"/>
          <w:sz w:val="32"/>
          <w:szCs w:val="32"/>
        </w:rPr>
        <w:t>基站、终端设备技术要求和测试方法。</w:t>
      </w:r>
    </w:p>
    <w:p>
      <w:pPr>
        <w:pStyle w:val="19"/>
        <w:shd w:val="clear" w:color="auto" w:fill="FFFFFF"/>
        <w:spacing w:before="0" w:beforeAutospacing="0" w:after="0" w:afterAutospacing="0" w:line="393" w:lineRule="atLeast"/>
        <w:ind w:firstLine="640"/>
        <w:jc w:val="both"/>
        <w:rPr>
          <w:rFonts w:ascii="仿宋" w:hAnsi="仿宋" w:eastAsia="仿宋" w:cs="仿宋"/>
          <w:sz w:val="32"/>
          <w:szCs w:val="32"/>
        </w:rPr>
      </w:pPr>
      <w:r>
        <w:rPr>
          <w:rFonts w:hint="eastAsia" w:ascii="仿宋" w:hAnsi="仿宋" w:eastAsia="仿宋" w:cs="仿宋"/>
          <w:sz w:val="32"/>
          <w:szCs w:val="32"/>
        </w:rPr>
        <w:t>卫星通信技术标准包含卫星通信地球站设备车载（静止</w:t>
      </w:r>
      <w:r>
        <w:rPr>
          <w:rFonts w:ascii="仿宋" w:hAnsi="仿宋" w:eastAsia="仿宋" w:cs="仿宋"/>
          <w:sz w:val="32"/>
          <w:szCs w:val="32"/>
        </w:rPr>
        <w:t>/</w:t>
      </w:r>
      <w:r>
        <w:rPr>
          <w:rFonts w:hint="eastAsia" w:ascii="仿宋" w:hAnsi="仿宋" w:eastAsia="仿宋" w:cs="仿宋"/>
          <w:sz w:val="32"/>
          <w:szCs w:val="32"/>
        </w:rPr>
        <w:t>移动）天线和伺服系统测试方法、车载卫星通信设备电磁兼容性要求和测试方法、车载卫星终端通用技术要求和测试方法等。</w:t>
      </w:r>
    </w:p>
    <w:p>
      <w:pPr>
        <w:pStyle w:val="19"/>
        <w:shd w:val="clear" w:color="auto" w:fill="FFFFFF"/>
        <w:spacing w:before="0" w:beforeAutospacing="0" w:after="0" w:afterAutospacing="0" w:line="393" w:lineRule="atLeast"/>
        <w:ind w:firstLine="640"/>
        <w:jc w:val="both"/>
        <w:rPr>
          <w:rFonts w:ascii="仿宋" w:hAnsi="仿宋" w:eastAsia="仿宋" w:cs="Times New Roman"/>
          <w:sz w:val="32"/>
          <w:szCs w:val="32"/>
        </w:rPr>
      </w:pPr>
      <w:r>
        <w:rPr>
          <w:rFonts w:hint="eastAsia" w:ascii="仿宋" w:hAnsi="仿宋" w:eastAsia="仿宋" w:cs="仿宋"/>
          <w:color w:val="000000"/>
          <w:sz w:val="32"/>
          <w:szCs w:val="32"/>
        </w:rPr>
        <w:t>导航定位标准包括车载导航定位性能、定时技术和电磁兼容性的技术要求和测试方法。车载导航定位标准将为车载导航定位性能评估提供测试依据，包括射频性能、空间性能、一致性等，定位方式包括北斗、</w:t>
      </w:r>
      <w:r>
        <w:rPr>
          <w:rFonts w:ascii="仿宋" w:hAnsi="仿宋" w:eastAsia="仿宋" w:cs="仿宋"/>
          <w:color w:val="000000"/>
          <w:sz w:val="32"/>
          <w:szCs w:val="32"/>
        </w:rPr>
        <w:t>GPS</w:t>
      </w:r>
      <w:r>
        <w:rPr>
          <w:rFonts w:hint="eastAsia" w:ascii="仿宋" w:hAnsi="仿宋" w:eastAsia="仿宋" w:cs="仿宋"/>
          <w:color w:val="000000"/>
          <w:sz w:val="32"/>
          <w:szCs w:val="32"/>
        </w:rPr>
        <w:t>等多模独立定位、通信网络辅助定位等。车载定时标准将为车载定时性能评估提供测试依据，包括定时准确性、稳定性等。</w:t>
      </w:r>
    </w:p>
    <w:p>
      <w:pPr>
        <w:ind w:firstLine="640" w:firstLineChars="200"/>
        <w:jc w:val="both"/>
        <w:rPr>
          <w:rFonts w:ascii="仿宋" w:hAnsi="仿宋" w:eastAsia="仿宋"/>
          <w:sz w:val="32"/>
          <w:szCs w:val="32"/>
        </w:rPr>
      </w:pPr>
      <w:r>
        <w:rPr>
          <w:rFonts w:hint="eastAsia" w:ascii="仿宋" w:hAnsi="仿宋" w:eastAsia="仿宋" w:cs="仿宋"/>
          <w:sz w:val="32"/>
          <w:szCs w:val="32"/>
        </w:rPr>
        <w:t>车载通信系统标准主要包含车载网关设备技术要求和检测方法，车载窄带语音通信设备传输性能要求和测试方法，车载无线通信接口技术要求和测试方法，车载通信终端与手持终端互联规范等。</w:t>
      </w:r>
    </w:p>
    <w:p>
      <w:pPr>
        <w:ind w:firstLine="643" w:firstLineChars="200"/>
        <w:rPr>
          <w:rFonts w:ascii="仿宋" w:hAnsi="仿宋" w:eastAsia="仿宋"/>
          <w:b/>
          <w:bCs/>
          <w:sz w:val="32"/>
          <w:szCs w:val="32"/>
        </w:rPr>
      </w:pPr>
      <w:r>
        <w:rPr>
          <w:rFonts w:ascii="仿宋" w:hAnsi="仿宋" w:eastAsia="仿宋" w:cs="仿宋"/>
          <w:b/>
          <w:bCs/>
          <w:sz w:val="32"/>
          <w:szCs w:val="32"/>
        </w:rPr>
        <w:t>3.</w:t>
      </w:r>
      <w:r>
        <w:rPr>
          <w:rFonts w:hint="eastAsia" w:ascii="仿宋" w:hAnsi="仿宋" w:eastAsia="仿宋" w:cs="仿宋"/>
          <w:b/>
          <w:bCs/>
          <w:sz w:val="32"/>
          <w:szCs w:val="32"/>
        </w:rPr>
        <w:t>业务与应用标准</w:t>
      </w:r>
    </w:p>
    <w:p>
      <w:pPr>
        <w:pStyle w:val="19"/>
        <w:shd w:val="clear" w:color="auto" w:fill="FFFFFF"/>
        <w:spacing w:before="0" w:beforeAutospacing="0" w:after="0" w:afterAutospacing="0" w:line="393" w:lineRule="atLeast"/>
        <w:ind w:firstLine="640"/>
        <w:jc w:val="both"/>
        <w:rPr>
          <w:rFonts w:cs="Times New Roman"/>
        </w:rPr>
      </w:pPr>
      <w:r>
        <w:rPr>
          <w:rFonts w:hint="eastAsia" w:ascii="仿宋" w:hAnsi="仿宋" w:eastAsia="仿宋" w:cs="仿宋"/>
          <w:kern w:val="2"/>
          <w:sz w:val="32"/>
          <w:szCs w:val="32"/>
        </w:rPr>
        <w:t>车联网产业相关的业务与应用包括效率出行类应用、主动安全类应用、信息通信平台类应用、车载紧急救援应用、信息共享和使用、基础数据和云服务等。业务与应用标准主要规定具体服务产品和系统的功能要求、性能要求以及对应的试验方法等。例如，针对效率出行类制定智能运输系统中道路信息结构化和交互数据集标准；针对主动安全类应用开展基于网联式的主动安全和自动驾驶技术要求和测试方法；针对信息通信平台制定车载服务平台接口技术要求及测试方法、平台与车载终端信息交互（</w:t>
      </w:r>
      <w:r>
        <w:rPr>
          <w:rFonts w:ascii="仿宋" w:hAnsi="仿宋" w:eastAsia="仿宋" w:cs="仿宋"/>
          <w:kern w:val="2"/>
          <w:sz w:val="32"/>
          <w:szCs w:val="32"/>
        </w:rPr>
        <w:t>OTA</w:t>
      </w:r>
      <w:r>
        <w:rPr>
          <w:rFonts w:hint="eastAsia" w:ascii="仿宋" w:hAnsi="仿宋" w:eastAsia="仿宋" w:cs="仿宋"/>
          <w:kern w:val="2"/>
          <w:sz w:val="32"/>
          <w:szCs w:val="32"/>
        </w:rPr>
        <w:t>技术等）技术要求及测试方法等标准；</w:t>
      </w:r>
      <w:r>
        <w:rPr>
          <w:rFonts w:hint="eastAsia" w:ascii="仿宋" w:hAnsi="仿宋" w:eastAsia="仿宋" w:cs="仿宋"/>
          <w:color w:val="000000"/>
          <w:sz w:val="32"/>
          <w:szCs w:val="32"/>
        </w:rPr>
        <w:t>车载紧急救援标准主要面向车辆遇到突发状况采取的紧急救援技术开展标准化，包括紧急救援应用功能模型、系统架构、业务流程、接口、紧急信息采集、消息格式等内容，涉及业务平台、承载网络及设备的功能和性能要求</w:t>
      </w:r>
      <w:r>
        <w:rPr>
          <w:rFonts w:hint="eastAsia" w:ascii="仿宋" w:hAnsi="仿宋" w:eastAsia="仿宋" w:cs="仿宋"/>
          <w:kern w:val="2"/>
          <w:sz w:val="32"/>
          <w:szCs w:val="32"/>
        </w:rPr>
        <w:t>；</w:t>
      </w:r>
      <w:r>
        <w:rPr>
          <w:rFonts w:hint="eastAsia" w:ascii="仿宋" w:hAnsi="仿宋" w:eastAsia="仿宋" w:cs="仿宋"/>
          <w:sz w:val="32"/>
          <w:szCs w:val="32"/>
        </w:rPr>
        <w:t>信息共享和使用包括车联网产业数据共享与开放相关要求等</w:t>
      </w:r>
      <w:r>
        <w:rPr>
          <w:rFonts w:hint="eastAsia" w:ascii="仿宋" w:hAnsi="仿宋" w:eastAsia="仿宋" w:cs="仿宋"/>
          <w:kern w:val="2"/>
          <w:sz w:val="32"/>
          <w:szCs w:val="32"/>
        </w:rPr>
        <w:t>；制定基础数据和云服务平台的参考架构、公共服务数据开放共享与流通等。</w:t>
      </w:r>
    </w:p>
    <w:p>
      <w:pPr>
        <w:ind w:firstLine="643" w:firstLineChars="200"/>
        <w:rPr>
          <w:rFonts w:ascii="仿宋" w:hAnsi="仿宋" w:eastAsia="仿宋"/>
          <w:b/>
          <w:bCs/>
          <w:sz w:val="32"/>
          <w:szCs w:val="32"/>
        </w:rPr>
      </w:pPr>
      <w:r>
        <w:rPr>
          <w:rFonts w:ascii="仿宋" w:hAnsi="仿宋" w:eastAsia="仿宋" w:cs="仿宋"/>
          <w:b/>
          <w:bCs/>
          <w:sz w:val="32"/>
          <w:szCs w:val="32"/>
        </w:rPr>
        <w:t>4.</w:t>
      </w:r>
      <w:r>
        <w:rPr>
          <w:rFonts w:hint="eastAsia" w:ascii="仿宋" w:hAnsi="仿宋" w:eastAsia="仿宋" w:cs="仿宋"/>
          <w:b/>
          <w:bCs/>
          <w:sz w:val="32"/>
          <w:szCs w:val="32"/>
        </w:rPr>
        <w:t>网络与数据安全</w:t>
      </w:r>
    </w:p>
    <w:p>
      <w:pPr>
        <w:pStyle w:val="172"/>
        <w:widowControl w:val="0"/>
        <w:ind w:firstLine="640"/>
        <w:jc w:val="both"/>
        <w:rPr>
          <w:rFonts w:ascii="仿宋" w:hAnsi="仿宋" w:eastAsia="仿宋"/>
          <w:sz w:val="32"/>
          <w:szCs w:val="32"/>
        </w:rPr>
      </w:pPr>
      <w:r>
        <w:rPr>
          <w:rFonts w:hint="eastAsia" w:ascii="仿宋" w:hAnsi="仿宋" w:eastAsia="仿宋" w:cs="仿宋"/>
          <w:sz w:val="32"/>
          <w:szCs w:val="32"/>
        </w:rPr>
        <w:t>车联网产业网络与数据安全包括安全体系架构、通信安全、数据安全、网络安全防护、安全监控、应急管理等。安全体系架构标准包括总体安全架构要求；通信安全标准包括车内通信、</w:t>
      </w:r>
      <w:r>
        <w:rPr>
          <w:rFonts w:ascii="仿宋" w:hAnsi="仿宋" w:eastAsia="仿宋" w:cs="仿宋"/>
          <w:sz w:val="32"/>
          <w:szCs w:val="32"/>
        </w:rPr>
        <w:t>V2X</w:t>
      </w:r>
      <w:r>
        <w:rPr>
          <w:rFonts w:hint="eastAsia" w:ascii="仿宋" w:hAnsi="仿宋" w:eastAsia="仿宋" w:cs="仿宋"/>
          <w:sz w:val="32"/>
          <w:szCs w:val="32"/>
        </w:rPr>
        <w:t>通信安全要求、智能网关安全要求和测试方法等；数据安全标准包括数据安全及用户个人信息保护；网络安全防护标准包括信息服务平台安全防护与测评相关要求；安全监测标准包括车辆安全监测技术要求；应急管理标准包括车辆联网的应急管理要求。</w:t>
      </w:r>
    </w:p>
    <w:p>
      <w:pPr>
        <w:pStyle w:val="2"/>
        <w:spacing w:before="156" w:beforeLines="50" w:after="156" w:afterLines="50" w:line="240" w:lineRule="auto"/>
        <w:ind w:firstLine="643" w:firstLineChars="200"/>
        <w:rPr>
          <w:rFonts w:ascii="楷体" w:hAnsi="楷体" w:eastAsia="楷体" w:cs="仿宋"/>
          <w:sz w:val="32"/>
          <w:szCs w:val="32"/>
        </w:rPr>
      </w:pPr>
      <w:bookmarkStart w:id="123" w:name="_Toc482948295"/>
      <w:bookmarkStart w:id="124" w:name="_Toc485375028"/>
      <w:r>
        <w:rPr>
          <w:rFonts w:hint="eastAsia" w:ascii="楷体" w:hAnsi="楷体" w:eastAsia="楷体" w:cs="仿宋"/>
          <w:sz w:val="32"/>
          <w:szCs w:val="32"/>
        </w:rPr>
        <w:t>（三）标准体系表</w:t>
      </w:r>
      <w:bookmarkEnd w:id="123"/>
      <w:bookmarkEnd w:id="124"/>
    </w:p>
    <w:tbl>
      <w:tblPr>
        <w:tblStyle w:val="27"/>
        <w:tblW w:w="8161"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6"/>
        <w:gridCol w:w="510"/>
        <w:gridCol w:w="3354"/>
        <w:gridCol w:w="1204"/>
        <w:gridCol w:w="1007"/>
        <w:gridCol w:w="882"/>
        <w:gridCol w:w="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blHeader/>
        </w:trPr>
        <w:tc>
          <w:tcPr>
            <w:tcW w:w="476" w:type="dxa"/>
            <w:tcBorders>
              <w:top w:val="single" w:color="auto" w:sz="8" w:space="0"/>
              <w:left w:val="single" w:color="auto" w:sz="8" w:space="0"/>
              <w:bottom w:val="single" w:color="auto" w:sz="8" w:space="0"/>
              <w:right w:val="single" w:color="auto" w:sz="8" w:space="0"/>
            </w:tcBorders>
            <w:shd w:val="clear" w:color="000000" w:fill="FFFFFF"/>
            <w:vAlign w:val="center"/>
          </w:tcPr>
          <w:p>
            <w:pPr>
              <w:jc w:val="center"/>
              <w:rPr>
                <w:rFonts w:ascii="宋体"/>
                <w:b/>
                <w:bCs/>
                <w:color w:val="000000"/>
                <w:kern w:val="0"/>
              </w:rPr>
            </w:pPr>
            <w:r>
              <w:rPr>
                <w:rFonts w:hint="eastAsia" w:ascii="宋体" w:hAnsi="宋体" w:cs="宋体"/>
                <w:b/>
                <w:bCs/>
                <w:color w:val="000000"/>
                <w:kern w:val="0"/>
              </w:rPr>
              <w:t>总序号</w:t>
            </w:r>
          </w:p>
        </w:tc>
        <w:tc>
          <w:tcPr>
            <w:tcW w:w="510" w:type="dxa"/>
            <w:tcBorders>
              <w:top w:val="single" w:color="auto" w:sz="8" w:space="0"/>
              <w:left w:val="nil"/>
              <w:bottom w:val="single" w:color="auto" w:sz="8" w:space="0"/>
              <w:right w:val="single" w:color="auto" w:sz="8" w:space="0"/>
            </w:tcBorders>
            <w:shd w:val="clear" w:color="000000" w:fill="FFFFFF"/>
            <w:vAlign w:val="center"/>
          </w:tcPr>
          <w:p>
            <w:pPr>
              <w:jc w:val="center"/>
              <w:rPr>
                <w:rFonts w:ascii="宋体"/>
                <w:b/>
                <w:bCs/>
                <w:color w:val="000000"/>
                <w:kern w:val="0"/>
              </w:rPr>
            </w:pPr>
            <w:r>
              <w:rPr>
                <w:rFonts w:hint="eastAsia" w:ascii="宋体" w:hAnsi="宋体" w:cs="宋体"/>
                <w:b/>
                <w:bCs/>
                <w:color w:val="000000"/>
                <w:kern w:val="0"/>
              </w:rPr>
              <w:t>分序号</w:t>
            </w:r>
          </w:p>
        </w:tc>
        <w:tc>
          <w:tcPr>
            <w:tcW w:w="3354"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b/>
                <w:bCs/>
                <w:color w:val="000000"/>
                <w:kern w:val="0"/>
              </w:rPr>
            </w:pPr>
            <w:r>
              <w:rPr>
                <w:rFonts w:hint="eastAsia" w:ascii="宋体" w:hAnsi="宋体" w:cs="宋体"/>
                <w:b/>
                <w:bCs/>
                <w:color w:val="000000"/>
                <w:kern w:val="0"/>
              </w:rPr>
              <w:t>标准名称</w:t>
            </w:r>
          </w:p>
        </w:tc>
        <w:tc>
          <w:tcPr>
            <w:tcW w:w="1204" w:type="dxa"/>
            <w:tcBorders>
              <w:top w:val="single" w:color="auto" w:sz="8" w:space="0"/>
              <w:left w:val="nil"/>
              <w:bottom w:val="single" w:color="auto" w:sz="8" w:space="0"/>
              <w:right w:val="single" w:color="auto" w:sz="8" w:space="0"/>
            </w:tcBorders>
            <w:shd w:val="clear" w:color="000000" w:fill="FFFFFF"/>
            <w:vAlign w:val="center"/>
          </w:tcPr>
          <w:p>
            <w:pPr>
              <w:jc w:val="center"/>
              <w:rPr>
                <w:rFonts w:ascii="宋体"/>
                <w:b/>
                <w:bCs/>
                <w:color w:val="000000"/>
                <w:kern w:val="0"/>
              </w:rPr>
            </w:pPr>
            <w:r>
              <w:rPr>
                <w:rFonts w:hint="eastAsia" w:ascii="宋体" w:hAnsi="宋体" w:cs="宋体"/>
                <w:b/>
                <w:bCs/>
                <w:color w:val="000000"/>
                <w:kern w:val="0"/>
              </w:rPr>
              <w:t>标准类型</w:t>
            </w:r>
            <w:r>
              <w:rPr>
                <w:rFonts w:ascii="宋体" w:hAnsi="宋体" w:cs="宋体"/>
                <w:b/>
                <w:bCs/>
                <w:color w:val="000000"/>
                <w:kern w:val="0"/>
              </w:rPr>
              <w:t>/</w:t>
            </w:r>
            <w:r>
              <w:rPr>
                <w:rFonts w:hint="eastAsia" w:ascii="宋体" w:hAnsi="宋体" w:cs="宋体"/>
                <w:b/>
                <w:bCs/>
                <w:color w:val="000000"/>
                <w:kern w:val="0"/>
              </w:rPr>
              <w:t>标准号</w:t>
            </w:r>
          </w:p>
        </w:tc>
        <w:tc>
          <w:tcPr>
            <w:tcW w:w="1007" w:type="dxa"/>
            <w:tcBorders>
              <w:top w:val="single" w:color="auto" w:sz="8" w:space="0"/>
              <w:left w:val="nil"/>
              <w:bottom w:val="single" w:color="auto" w:sz="8" w:space="0"/>
              <w:right w:val="single" w:color="auto" w:sz="8" w:space="0"/>
            </w:tcBorders>
            <w:shd w:val="clear" w:color="000000" w:fill="FFFFFF"/>
            <w:vAlign w:val="center"/>
          </w:tcPr>
          <w:p>
            <w:pPr>
              <w:jc w:val="center"/>
              <w:rPr>
                <w:rFonts w:ascii="宋体"/>
                <w:b/>
                <w:bCs/>
                <w:color w:val="000000"/>
                <w:kern w:val="0"/>
              </w:rPr>
            </w:pPr>
            <w:r>
              <w:rPr>
                <w:rFonts w:hint="eastAsia" w:ascii="宋体" w:hAnsi="宋体" w:cs="宋体"/>
                <w:b/>
                <w:bCs/>
                <w:color w:val="000000"/>
                <w:kern w:val="0"/>
              </w:rPr>
              <w:t>状态</w:t>
            </w:r>
          </w:p>
        </w:tc>
        <w:tc>
          <w:tcPr>
            <w:tcW w:w="882" w:type="dxa"/>
            <w:tcBorders>
              <w:top w:val="single" w:color="auto" w:sz="8" w:space="0"/>
              <w:left w:val="nil"/>
              <w:bottom w:val="single" w:color="auto" w:sz="8" w:space="0"/>
              <w:right w:val="single" w:color="auto" w:sz="8" w:space="0"/>
            </w:tcBorders>
            <w:shd w:val="clear" w:color="000000" w:fill="FFFFFF"/>
            <w:vAlign w:val="center"/>
          </w:tcPr>
          <w:p>
            <w:pPr>
              <w:jc w:val="center"/>
              <w:rPr>
                <w:rFonts w:ascii="宋体"/>
                <w:b/>
                <w:bCs/>
                <w:color w:val="000000"/>
                <w:kern w:val="0"/>
              </w:rPr>
            </w:pPr>
            <w:r>
              <w:rPr>
                <w:rFonts w:hint="eastAsia" w:ascii="宋体" w:hAnsi="宋体" w:cs="宋体"/>
                <w:b/>
                <w:bCs/>
                <w:color w:val="000000"/>
                <w:kern w:val="0"/>
              </w:rPr>
              <w:t>联合起草单位</w:t>
            </w:r>
          </w:p>
        </w:tc>
        <w:tc>
          <w:tcPr>
            <w:tcW w:w="728" w:type="dxa"/>
            <w:tcBorders>
              <w:top w:val="single" w:color="auto" w:sz="8" w:space="0"/>
              <w:left w:val="nil"/>
              <w:bottom w:val="single" w:color="auto" w:sz="8" w:space="0"/>
              <w:right w:val="single" w:color="auto" w:sz="8" w:space="0"/>
            </w:tcBorders>
            <w:shd w:val="clear" w:color="000000" w:fill="FFFFFF"/>
            <w:vAlign w:val="center"/>
          </w:tcPr>
          <w:p>
            <w:pPr>
              <w:jc w:val="center"/>
              <w:rPr>
                <w:rFonts w:ascii="宋体"/>
                <w:b/>
                <w:bCs/>
                <w:color w:val="000000"/>
                <w:kern w:val="0"/>
              </w:rPr>
            </w:pPr>
            <w:r>
              <w:rPr>
                <w:rFonts w:hint="eastAsia" w:ascii="宋体" w:hAnsi="宋体" w:cs="宋体"/>
                <w:b/>
                <w:bCs/>
                <w:color w:val="000000"/>
                <w:kern w:val="0"/>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single" w:color="auto" w:sz="8" w:space="0"/>
              <w:left w:val="single" w:color="auto" w:sz="8" w:space="0"/>
              <w:bottom w:val="single" w:color="auto" w:sz="8" w:space="0"/>
              <w:right w:val="single" w:color="000000" w:sz="8" w:space="0"/>
            </w:tcBorders>
            <w:shd w:val="clear" w:color="auto" w:fill="92D050"/>
            <w:vAlign w:val="center"/>
          </w:tcPr>
          <w:p>
            <w:pPr>
              <w:rPr>
                <w:rFonts w:ascii="宋体"/>
                <w:b/>
                <w:bCs/>
                <w:color w:val="000000"/>
                <w:kern w:val="0"/>
              </w:rPr>
            </w:pPr>
            <w:r>
              <w:rPr>
                <w:rFonts w:ascii="宋体" w:hAnsi="宋体" w:cs="宋体"/>
                <w:b/>
                <w:bCs/>
                <w:color w:val="000000"/>
                <w:kern w:val="0"/>
              </w:rPr>
              <w:t xml:space="preserve">BA </w:t>
            </w:r>
            <w:r>
              <w:rPr>
                <w:rFonts w:hint="eastAsia" w:ascii="宋体" w:hAnsi="宋体" w:cs="宋体"/>
                <w:b/>
                <w:bCs/>
                <w:color w:val="000000"/>
                <w:kern w:val="0"/>
              </w:rPr>
              <w:t>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single" w:color="auto" w:sz="8" w:space="0"/>
              <w:left w:val="single" w:color="auto" w:sz="8" w:space="0"/>
              <w:bottom w:val="single" w:color="auto" w:sz="8" w:space="0"/>
              <w:right w:val="single" w:color="000000" w:sz="8" w:space="0"/>
            </w:tcBorders>
            <w:shd w:val="clear" w:color="auto" w:fill="FFD966"/>
            <w:vAlign w:val="center"/>
          </w:tcPr>
          <w:p>
            <w:pPr>
              <w:rPr>
                <w:rFonts w:ascii="宋体"/>
                <w:b/>
                <w:bCs/>
                <w:color w:val="000000"/>
                <w:kern w:val="0"/>
              </w:rPr>
            </w:pPr>
            <w:r>
              <w:rPr>
                <w:rFonts w:ascii="宋体" w:hAnsi="宋体" w:cs="宋体"/>
                <w:b/>
                <w:bCs/>
                <w:color w:val="000000"/>
                <w:kern w:val="0"/>
              </w:rPr>
              <w:t>BAA</w:t>
            </w:r>
            <w:r>
              <w:rPr>
                <w:rFonts w:hint="eastAsia" w:ascii="宋体" w:hAnsi="宋体" w:cs="宋体"/>
                <w:b/>
                <w:bCs/>
                <w:color w:val="000000"/>
                <w:kern w:val="0"/>
              </w:rPr>
              <w:t>术语和定义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w:t>
            </w:r>
          </w:p>
        </w:tc>
        <w:tc>
          <w:tcPr>
            <w:tcW w:w="3354" w:type="dxa"/>
            <w:tcBorders>
              <w:top w:val="nil"/>
              <w:left w:val="nil"/>
              <w:bottom w:val="single" w:color="auto" w:sz="8" w:space="0"/>
              <w:right w:val="single" w:color="auto" w:sz="8" w:space="0"/>
            </w:tcBorders>
            <w:shd w:val="clear" w:color="auto" w:fill="auto"/>
            <w:vAlign w:val="center"/>
          </w:tcPr>
          <w:p>
            <w:pPr>
              <w:rPr>
                <w:rFonts w:ascii="宋体"/>
                <w:color w:val="000000"/>
                <w:kern w:val="0"/>
              </w:rPr>
            </w:pPr>
            <w:r>
              <w:rPr>
                <w:rFonts w:hint="eastAsia" w:ascii="宋体" w:hAnsi="宋体" w:cs="宋体"/>
                <w:color w:val="000000"/>
                <w:kern w:val="0"/>
              </w:rPr>
              <w:t>信息通信类术语和定义</w:t>
            </w:r>
          </w:p>
        </w:tc>
        <w:tc>
          <w:tcPr>
            <w:tcW w:w="1204"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single" w:color="auto" w:sz="4" w:space="0"/>
              <w:left w:val="single" w:color="auto" w:sz="8" w:space="0"/>
              <w:bottom w:val="single" w:color="auto" w:sz="8" w:space="0"/>
              <w:right w:val="single" w:color="auto" w:sz="8" w:space="0"/>
            </w:tcBorders>
            <w:shd w:val="clear" w:color="auto" w:fill="FFD966"/>
            <w:vAlign w:val="center"/>
          </w:tcPr>
          <w:p>
            <w:pPr>
              <w:rPr>
                <w:rFonts w:ascii="宋体"/>
                <w:color w:val="000000"/>
                <w:kern w:val="0"/>
              </w:rPr>
            </w:pPr>
            <w:r>
              <w:rPr>
                <w:rFonts w:ascii="宋体" w:hAnsi="宋体" w:cs="宋体"/>
                <w:b/>
                <w:bCs/>
                <w:color w:val="000000"/>
                <w:kern w:val="0"/>
              </w:rPr>
              <w:t>BAB</w:t>
            </w:r>
            <w:r>
              <w:rPr>
                <w:rFonts w:hint="eastAsia" w:ascii="宋体" w:hAnsi="宋体" w:cs="宋体"/>
                <w:b/>
                <w:bCs/>
                <w:color w:val="000000"/>
                <w:kern w:val="0"/>
              </w:rPr>
              <w:t>移动互联人车交互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2</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w:t>
            </w:r>
          </w:p>
        </w:tc>
        <w:tc>
          <w:tcPr>
            <w:tcW w:w="3354" w:type="dxa"/>
            <w:tcBorders>
              <w:top w:val="nil"/>
              <w:left w:val="nil"/>
              <w:bottom w:val="single" w:color="auto" w:sz="8" w:space="0"/>
              <w:right w:val="single" w:color="auto" w:sz="8" w:space="0"/>
            </w:tcBorders>
            <w:shd w:val="clear" w:color="auto" w:fill="auto"/>
            <w:vAlign w:val="center"/>
          </w:tcPr>
          <w:p>
            <w:pPr>
              <w:rPr>
                <w:rFonts w:ascii="宋体"/>
                <w:color w:val="000000"/>
                <w:kern w:val="0"/>
              </w:rPr>
            </w:pPr>
            <w:r>
              <w:rPr>
                <w:rFonts w:hint="eastAsia" w:ascii="宋体" w:hAnsi="宋体" w:cs="宋体"/>
                <w:color w:val="000000"/>
                <w:kern w:val="0"/>
              </w:rPr>
              <w:t>支持移动互联网应用的车载智能语音交互技术要求及测试方法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3</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2</w:t>
            </w:r>
          </w:p>
        </w:tc>
        <w:tc>
          <w:tcPr>
            <w:tcW w:w="3354" w:type="dxa"/>
            <w:tcBorders>
              <w:top w:val="nil"/>
              <w:left w:val="nil"/>
              <w:bottom w:val="single" w:color="auto" w:sz="8" w:space="0"/>
              <w:right w:val="single" w:color="auto" w:sz="8" w:space="0"/>
            </w:tcBorders>
            <w:shd w:val="clear" w:color="auto" w:fill="auto"/>
            <w:vAlign w:val="center"/>
          </w:tcPr>
          <w:p>
            <w:pPr>
              <w:rPr>
                <w:rFonts w:ascii="宋体"/>
                <w:color w:val="000000"/>
                <w:kern w:val="0"/>
              </w:rPr>
            </w:pPr>
            <w:r>
              <w:rPr>
                <w:rFonts w:hint="eastAsia" w:ascii="宋体" w:hAnsi="宋体" w:cs="宋体"/>
                <w:color w:val="000000"/>
                <w:kern w:val="0"/>
              </w:rPr>
              <w:t>移动互联汽车用户体验技术要求及测试方法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nil"/>
              <w:left w:val="single" w:color="auto" w:sz="8" w:space="0"/>
              <w:bottom w:val="single" w:color="auto" w:sz="8" w:space="0"/>
              <w:right w:val="single" w:color="auto" w:sz="8" w:space="0"/>
            </w:tcBorders>
            <w:shd w:val="clear" w:color="auto" w:fill="FFD966"/>
            <w:vAlign w:val="center"/>
          </w:tcPr>
          <w:p>
            <w:pPr>
              <w:rPr>
                <w:rFonts w:ascii="宋体"/>
                <w:color w:val="000000"/>
                <w:kern w:val="0"/>
              </w:rPr>
            </w:pPr>
            <w:r>
              <w:rPr>
                <w:rFonts w:ascii="宋体" w:hAnsi="宋体" w:cs="宋体"/>
                <w:b/>
                <w:bCs/>
                <w:color w:val="000000"/>
                <w:kern w:val="0"/>
              </w:rPr>
              <w:t>BAC</w:t>
            </w:r>
            <w:r>
              <w:rPr>
                <w:rFonts w:hint="eastAsia" w:ascii="宋体" w:hAnsi="宋体" w:cs="宋体"/>
                <w:b/>
                <w:bCs/>
                <w:color w:val="000000"/>
                <w:kern w:val="0"/>
              </w:rPr>
              <w:t>电磁环境兼容性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4</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w:t>
            </w:r>
          </w:p>
        </w:tc>
        <w:tc>
          <w:tcPr>
            <w:tcW w:w="3354" w:type="dxa"/>
            <w:tcBorders>
              <w:top w:val="nil"/>
              <w:left w:val="nil"/>
              <w:bottom w:val="single" w:color="auto" w:sz="8" w:space="0"/>
              <w:right w:val="single" w:color="auto" w:sz="8" w:space="0"/>
            </w:tcBorders>
            <w:shd w:val="clear" w:color="auto" w:fill="auto"/>
            <w:vAlign w:val="center"/>
          </w:tcPr>
          <w:p>
            <w:pPr>
              <w:rPr>
                <w:rFonts w:ascii="宋体"/>
                <w:color w:val="000000"/>
                <w:kern w:val="0"/>
              </w:rPr>
            </w:pPr>
            <w:r>
              <w:rPr>
                <w:rFonts w:hint="eastAsia" w:ascii="宋体" w:hAnsi="宋体" w:cs="宋体"/>
                <w:color w:val="000000"/>
                <w:kern w:val="0"/>
              </w:rPr>
              <w:t>车载通信系统电磁兼容性技术要求</w:t>
            </w:r>
          </w:p>
        </w:tc>
        <w:tc>
          <w:tcPr>
            <w:tcW w:w="1204" w:type="dxa"/>
            <w:tcBorders>
              <w:top w:val="nil"/>
              <w:left w:val="nil"/>
              <w:bottom w:val="single" w:color="auto" w:sz="8" w:space="0"/>
              <w:right w:val="single" w:color="auto" w:sz="8" w:space="0"/>
            </w:tcBorders>
            <w:shd w:val="clear" w:color="000000" w:fill="FFFFFF"/>
            <w:vAlign w:val="top"/>
          </w:tcPr>
          <w:p>
            <w:pPr>
              <w:rPr>
                <w:color w:val="000000"/>
              </w:rPr>
            </w:pPr>
            <w:r>
              <w:rPr>
                <w:rFonts w:hint="eastAsia" w:ascii="宋体" w:cs="宋体"/>
                <w:color w:val="000000"/>
                <w:kern w:val="0"/>
              </w:rPr>
              <w:t>国家标准</w:t>
            </w:r>
            <w:r>
              <w:rPr>
                <w:rFonts w:ascii="宋体" w:cs="宋体"/>
                <w:color w:val="000000"/>
                <w:kern w:val="0"/>
              </w:rPr>
              <w:t>/</w:t>
            </w: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jc w:val="center"/>
              <w:rPr>
                <w:color w:val="000000"/>
              </w:rPr>
            </w:pPr>
          </w:p>
        </w:tc>
        <w:tc>
          <w:tcPr>
            <w:tcW w:w="728" w:type="dxa"/>
            <w:tcBorders>
              <w:top w:val="nil"/>
              <w:left w:val="nil"/>
              <w:bottom w:val="single" w:color="auto" w:sz="8" w:space="0"/>
              <w:right w:val="single" w:color="auto" w:sz="8" w:space="0"/>
            </w:tcBorders>
            <w:shd w:val="clear" w:color="000000" w:fill="FFFFFF"/>
            <w:vAlign w:val="center"/>
          </w:tcPr>
          <w:p>
            <w:pPr>
              <w:jc w:val="both"/>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rPr>
            </w:pPr>
            <w:r>
              <w:rPr>
                <w:rFonts w:ascii="宋体" w:hAnsi="宋体" w:cs="宋体"/>
                <w:color w:val="000000"/>
              </w:rPr>
              <w:t>5</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rPr>
            </w:pPr>
            <w:r>
              <w:rPr>
                <w:rFonts w:ascii="宋体" w:hAnsi="宋体" w:cs="宋体"/>
                <w:color w:val="000000"/>
              </w:rPr>
              <w:t>2</w:t>
            </w:r>
          </w:p>
        </w:tc>
        <w:tc>
          <w:tcPr>
            <w:tcW w:w="3354" w:type="dxa"/>
            <w:tcBorders>
              <w:top w:val="nil"/>
              <w:left w:val="nil"/>
              <w:bottom w:val="single" w:color="auto" w:sz="8" w:space="0"/>
              <w:right w:val="single" w:color="auto" w:sz="8" w:space="0"/>
            </w:tcBorders>
            <w:shd w:val="clear" w:color="auto" w:fill="auto"/>
            <w:vAlign w:val="center"/>
          </w:tcPr>
          <w:p>
            <w:pPr>
              <w:rPr>
                <w:rFonts w:ascii="宋体"/>
                <w:color w:val="000000"/>
              </w:rPr>
            </w:pPr>
            <w:r>
              <w:rPr>
                <w:rFonts w:hint="eastAsia" w:ascii="宋体" w:hAnsi="宋体" w:cs="宋体"/>
                <w:color w:val="000000"/>
              </w:rPr>
              <w:t>车载通信系统电磁兼容性测试方法</w:t>
            </w:r>
          </w:p>
        </w:tc>
        <w:tc>
          <w:tcPr>
            <w:tcW w:w="1204" w:type="dxa"/>
            <w:tcBorders>
              <w:top w:val="nil"/>
              <w:left w:val="nil"/>
              <w:bottom w:val="single" w:color="auto" w:sz="8" w:space="0"/>
              <w:right w:val="single" w:color="auto" w:sz="8" w:space="0"/>
            </w:tcBorders>
            <w:shd w:val="clear" w:color="000000" w:fill="FFFFFF"/>
            <w:vAlign w:val="top"/>
          </w:tcPr>
          <w:p>
            <w:pPr>
              <w:rPr>
                <w:rFonts w:ascii="宋体"/>
                <w:color w:val="000000"/>
              </w:rPr>
            </w:pPr>
            <w:r>
              <w:rPr>
                <w:rFonts w:hint="eastAsia" w:ascii="宋体" w:hAnsi="宋体" w:cs="宋体"/>
                <w:color w:val="000000"/>
              </w:rPr>
              <w:t>国家标准</w:t>
            </w:r>
            <w:r>
              <w:rPr>
                <w:rFonts w:ascii="宋体" w:hAnsi="宋体" w:cs="宋体"/>
                <w:color w:val="000000"/>
              </w:rPr>
              <w:t>/</w:t>
            </w:r>
            <w:r>
              <w:rPr>
                <w:rFonts w:hint="eastAsia" w:ascii="宋体" w:hAnsi="宋体" w:cs="宋体"/>
                <w:color w:val="00000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rPr>
            </w:pPr>
          </w:p>
        </w:tc>
        <w:tc>
          <w:tcPr>
            <w:tcW w:w="882" w:type="dxa"/>
            <w:tcBorders>
              <w:top w:val="nil"/>
              <w:left w:val="nil"/>
              <w:bottom w:val="single" w:color="auto" w:sz="8" w:space="0"/>
              <w:right w:val="single" w:color="auto" w:sz="8" w:space="0"/>
            </w:tcBorders>
            <w:shd w:val="clear" w:color="000000" w:fill="FFFFFF"/>
            <w:vAlign w:val="center"/>
          </w:tcPr>
          <w:p>
            <w:pPr>
              <w:jc w:val="center"/>
              <w:rPr>
                <w:rFonts w:ascii="宋体"/>
                <w:color w:val="000000"/>
              </w:rPr>
            </w:pPr>
          </w:p>
        </w:tc>
        <w:tc>
          <w:tcPr>
            <w:tcW w:w="728" w:type="dxa"/>
            <w:tcBorders>
              <w:top w:val="nil"/>
              <w:left w:val="nil"/>
              <w:bottom w:val="single" w:color="auto" w:sz="8" w:space="0"/>
              <w:right w:val="single" w:color="auto" w:sz="8" w:space="0"/>
            </w:tcBorders>
            <w:shd w:val="clear" w:color="000000" w:fill="FFFFFF"/>
            <w:vAlign w:val="center"/>
          </w:tcPr>
          <w:p>
            <w:pPr>
              <w:jc w:val="both"/>
              <w:rPr>
                <w:rFonts w:asci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rPr>
            </w:pPr>
            <w:r>
              <w:rPr>
                <w:rFonts w:ascii="宋体" w:hAnsi="宋体" w:cs="宋体"/>
                <w:color w:val="000000"/>
              </w:rPr>
              <w:t>6</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rPr>
            </w:pPr>
            <w:r>
              <w:rPr>
                <w:rFonts w:ascii="宋体" w:hAnsi="宋体" w:cs="宋体"/>
                <w:color w:val="000000"/>
              </w:rPr>
              <w:t>3</w:t>
            </w:r>
          </w:p>
        </w:tc>
        <w:tc>
          <w:tcPr>
            <w:tcW w:w="3354" w:type="dxa"/>
            <w:tcBorders>
              <w:top w:val="nil"/>
              <w:left w:val="nil"/>
              <w:bottom w:val="single" w:color="auto" w:sz="8" w:space="0"/>
              <w:right w:val="single" w:color="auto" w:sz="8" w:space="0"/>
            </w:tcBorders>
            <w:shd w:val="clear" w:color="auto" w:fill="auto"/>
            <w:vAlign w:val="center"/>
          </w:tcPr>
          <w:p>
            <w:pPr>
              <w:rPr>
                <w:rFonts w:ascii="宋体"/>
                <w:color w:val="000000"/>
              </w:rPr>
            </w:pPr>
            <w:r>
              <w:rPr>
                <w:rFonts w:hint="eastAsia" w:ascii="宋体" w:hAnsi="宋体" w:cs="宋体"/>
                <w:color w:val="000000"/>
              </w:rPr>
              <w:t>人体电磁暴露限值要求</w:t>
            </w:r>
          </w:p>
        </w:tc>
        <w:tc>
          <w:tcPr>
            <w:tcW w:w="1204" w:type="dxa"/>
            <w:tcBorders>
              <w:top w:val="nil"/>
              <w:left w:val="nil"/>
              <w:bottom w:val="single" w:color="auto" w:sz="8" w:space="0"/>
              <w:right w:val="single" w:color="auto" w:sz="8" w:space="0"/>
            </w:tcBorders>
            <w:shd w:val="clear" w:color="000000" w:fill="FFFFFF"/>
            <w:vAlign w:val="center"/>
          </w:tcPr>
          <w:p>
            <w:r>
              <w:rPr>
                <w:rFonts w:hint="eastAsia" w:cs="宋体"/>
              </w:rPr>
              <w:t>国家标准</w:t>
            </w:r>
            <w:r>
              <w:t>/</w:t>
            </w:r>
            <w:r>
              <w:rPr>
                <w:rFonts w:hint="eastAsia" w:cs="宋体"/>
              </w:rPr>
              <w:t>行业标准</w:t>
            </w:r>
          </w:p>
        </w:tc>
        <w:tc>
          <w:tcPr>
            <w:tcW w:w="1007" w:type="dxa"/>
            <w:tcBorders>
              <w:top w:val="nil"/>
              <w:left w:val="nil"/>
              <w:bottom w:val="single" w:color="auto" w:sz="8" w:space="0"/>
              <w:right w:val="single" w:color="auto" w:sz="8" w:space="0"/>
            </w:tcBorders>
            <w:shd w:val="clear" w:color="000000" w:fill="FFFFFF"/>
            <w:vAlign w:val="center"/>
          </w:tcPr>
          <w:p/>
        </w:tc>
        <w:tc>
          <w:tcPr>
            <w:tcW w:w="882" w:type="dxa"/>
            <w:tcBorders>
              <w:top w:val="nil"/>
              <w:left w:val="nil"/>
              <w:bottom w:val="single" w:color="auto" w:sz="8" w:space="0"/>
              <w:right w:val="single" w:color="auto" w:sz="8" w:space="0"/>
            </w:tcBorders>
            <w:shd w:val="clear" w:color="000000" w:fill="FFFFFF"/>
            <w:vAlign w:val="center"/>
          </w:tcPr>
          <w:p/>
        </w:tc>
        <w:tc>
          <w:tcPr>
            <w:tcW w:w="728" w:type="dxa"/>
            <w:tcBorders>
              <w:top w:val="nil"/>
              <w:left w:val="nil"/>
              <w:bottom w:val="single" w:color="auto" w:sz="8" w:space="0"/>
              <w:right w:val="single" w:color="auto" w:sz="8" w:space="0"/>
            </w:tcBorders>
            <w:shd w:val="clear" w:color="000000" w:fill="FFFFFF"/>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rPr>
            </w:pPr>
            <w:r>
              <w:rPr>
                <w:rFonts w:ascii="宋体" w:hAnsi="宋体" w:cs="宋体"/>
                <w:color w:val="000000"/>
              </w:rPr>
              <w:t>7</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rPr>
            </w:pPr>
            <w:r>
              <w:rPr>
                <w:rFonts w:ascii="宋体" w:hAnsi="宋体" w:cs="宋体"/>
                <w:color w:val="000000"/>
              </w:rPr>
              <w:t>4</w:t>
            </w:r>
          </w:p>
        </w:tc>
        <w:tc>
          <w:tcPr>
            <w:tcW w:w="3354" w:type="dxa"/>
            <w:tcBorders>
              <w:top w:val="nil"/>
              <w:left w:val="nil"/>
              <w:bottom w:val="single" w:color="auto" w:sz="8" w:space="0"/>
              <w:right w:val="single" w:color="auto" w:sz="8" w:space="0"/>
            </w:tcBorders>
            <w:shd w:val="clear" w:color="auto" w:fill="auto"/>
            <w:vAlign w:val="center"/>
          </w:tcPr>
          <w:p>
            <w:pPr>
              <w:rPr>
                <w:rFonts w:ascii="宋体"/>
                <w:color w:val="000000"/>
              </w:rPr>
            </w:pPr>
            <w:r>
              <w:rPr>
                <w:rFonts w:hint="eastAsia" w:ascii="宋体" w:hAnsi="宋体" w:cs="宋体"/>
                <w:color w:val="000000"/>
              </w:rPr>
              <w:t>人体电磁暴露评估方法</w:t>
            </w:r>
          </w:p>
        </w:tc>
        <w:tc>
          <w:tcPr>
            <w:tcW w:w="1204" w:type="dxa"/>
            <w:tcBorders>
              <w:top w:val="nil"/>
              <w:left w:val="nil"/>
              <w:bottom w:val="single" w:color="auto" w:sz="8" w:space="0"/>
              <w:right w:val="single" w:color="auto" w:sz="8" w:space="0"/>
            </w:tcBorders>
            <w:shd w:val="clear" w:color="000000" w:fill="FFFFFF"/>
            <w:vAlign w:val="center"/>
          </w:tcPr>
          <w:p>
            <w:r>
              <w:rPr>
                <w:rFonts w:hint="eastAsia" w:cs="宋体"/>
              </w:rPr>
              <w:t>国家标准</w:t>
            </w:r>
            <w:r>
              <w:t>/</w:t>
            </w:r>
            <w:r>
              <w:rPr>
                <w:rFonts w:hint="eastAsia" w:cs="宋体"/>
              </w:rPr>
              <w:t>行业标准</w:t>
            </w:r>
          </w:p>
        </w:tc>
        <w:tc>
          <w:tcPr>
            <w:tcW w:w="1007" w:type="dxa"/>
            <w:tcBorders>
              <w:top w:val="nil"/>
              <w:left w:val="nil"/>
              <w:bottom w:val="single" w:color="auto" w:sz="8" w:space="0"/>
              <w:right w:val="single" w:color="auto" w:sz="8" w:space="0"/>
            </w:tcBorders>
            <w:shd w:val="clear" w:color="000000" w:fill="FFFFFF"/>
            <w:vAlign w:val="center"/>
          </w:tcPr>
          <w:p/>
        </w:tc>
        <w:tc>
          <w:tcPr>
            <w:tcW w:w="882" w:type="dxa"/>
            <w:tcBorders>
              <w:top w:val="nil"/>
              <w:left w:val="nil"/>
              <w:bottom w:val="single" w:color="auto" w:sz="8" w:space="0"/>
              <w:right w:val="single" w:color="auto" w:sz="8" w:space="0"/>
            </w:tcBorders>
            <w:shd w:val="clear" w:color="000000" w:fill="FFFFFF"/>
            <w:vAlign w:val="center"/>
          </w:tcPr>
          <w:p/>
        </w:tc>
        <w:tc>
          <w:tcPr>
            <w:tcW w:w="728" w:type="dxa"/>
            <w:tcBorders>
              <w:top w:val="nil"/>
              <w:left w:val="nil"/>
              <w:bottom w:val="single" w:color="auto" w:sz="8" w:space="0"/>
              <w:right w:val="single" w:color="auto" w:sz="8" w:space="0"/>
            </w:tcBorders>
            <w:shd w:val="clear" w:color="000000" w:fill="FFFFFF"/>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nil"/>
              <w:left w:val="single" w:color="auto" w:sz="8" w:space="0"/>
              <w:bottom w:val="single" w:color="auto" w:sz="8" w:space="0"/>
              <w:right w:val="single" w:color="auto" w:sz="8" w:space="0"/>
            </w:tcBorders>
            <w:shd w:val="clear" w:color="auto" w:fill="FFD966"/>
            <w:vAlign w:val="center"/>
          </w:tcPr>
          <w:p>
            <w:pPr>
              <w:jc w:val="both"/>
              <w:rPr>
                <w:b/>
                <w:bCs/>
              </w:rPr>
            </w:pPr>
            <w:r>
              <w:rPr>
                <w:rFonts w:ascii="宋体" w:hAnsi="宋体" w:cs="宋体"/>
                <w:b/>
                <w:bCs/>
                <w:color w:val="000000"/>
              </w:rPr>
              <w:t>BAD</w:t>
            </w:r>
            <w:r>
              <w:rPr>
                <w:rFonts w:hint="eastAsia" w:ascii="宋体" w:hAnsi="宋体" w:cs="宋体"/>
                <w:b/>
                <w:bCs/>
                <w:color w:val="000000"/>
              </w:rPr>
              <w:t>天线技术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rPr>
            </w:pPr>
            <w:r>
              <w:rPr>
                <w:rFonts w:ascii="宋体" w:hAnsi="宋体" w:cs="宋体"/>
                <w:color w:val="000000"/>
              </w:rPr>
              <w:t>8</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rPr>
            </w:pPr>
            <w:r>
              <w:rPr>
                <w:rFonts w:ascii="宋体" w:hAnsi="宋体" w:cs="宋体"/>
                <w:color w:val="000000"/>
              </w:rPr>
              <w:t>1</w:t>
            </w:r>
          </w:p>
        </w:tc>
        <w:tc>
          <w:tcPr>
            <w:tcW w:w="3354" w:type="dxa"/>
            <w:tcBorders>
              <w:top w:val="nil"/>
              <w:left w:val="nil"/>
              <w:bottom w:val="single" w:color="auto" w:sz="8" w:space="0"/>
              <w:right w:val="single" w:color="auto" w:sz="8" w:space="0"/>
            </w:tcBorders>
            <w:shd w:val="clear" w:color="auto" w:fill="auto"/>
            <w:vAlign w:val="center"/>
          </w:tcPr>
          <w:p>
            <w:pPr>
              <w:rPr>
                <w:rFonts w:ascii="宋体"/>
                <w:color w:val="000000"/>
              </w:rPr>
            </w:pPr>
            <w:r>
              <w:rPr>
                <w:rFonts w:hint="eastAsia" w:ascii="宋体" w:hAnsi="宋体" w:cs="宋体"/>
                <w:color w:val="000000"/>
              </w:rPr>
              <w:t>车载系列天线技术要求</w:t>
            </w:r>
          </w:p>
        </w:tc>
        <w:tc>
          <w:tcPr>
            <w:tcW w:w="1204" w:type="dxa"/>
            <w:tcBorders>
              <w:top w:val="nil"/>
              <w:left w:val="nil"/>
              <w:bottom w:val="single" w:color="auto" w:sz="8" w:space="0"/>
              <w:right w:val="single" w:color="auto" w:sz="8" w:space="0"/>
            </w:tcBorders>
            <w:shd w:val="clear" w:color="000000" w:fill="FFFFFF"/>
            <w:vAlign w:val="top"/>
          </w:tcPr>
          <w:p>
            <w:pPr>
              <w:rPr>
                <w:rFonts w:ascii="宋体"/>
                <w:color w:val="000000"/>
              </w:rPr>
            </w:pPr>
            <w:r>
              <w:rPr>
                <w:rFonts w:hint="eastAsia" w:ascii="宋体" w:hAnsi="宋体" w:cs="宋体"/>
                <w:color w:val="000000"/>
              </w:rPr>
              <w:t>国家标准</w:t>
            </w:r>
            <w:r>
              <w:rPr>
                <w:rFonts w:ascii="宋体" w:hAnsi="宋体" w:cs="宋体"/>
                <w:color w:val="000000"/>
              </w:rPr>
              <w:t>/</w:t>
            </w:r>
            <w:r>
              <w:rPr>
                <w:rFonts w:hint="eastAsia" w:ascii="宋体" w:hAnsi="宋体" w:cs="宋体"/>
                <w:color w:val="00000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rPr>
            </w:pPr>
          </w:p>
        </w:tc>
        <w:tc>
          <w:tcPr>
            <w:tcW w:w="882" w:type="dxa"/>
            <w:tcBorders>
              <w:top w:val="nil"/>
              <w:left w:val="nil"/>
              <w:bottom w:val="single" w:color="auto" w:sz="8" w:space="0"/>
              <w:right w:val="single" w:color="auto" w:sz="8" w:space="0"/>
            </w:tcBorders>
            <w:shd w:val="clear" w:color="000000" w:fill="FFFFFF"/>
            <w:vAlign w:val="center"/>
          </w:tcPr>
          <w:p>
            <w:pPr>
              <w:jc w:val="center"/>
              <w:rPr>
                <w:rFonts w:ascii="宋体"/>
                <w:color w:val="000000"/>
              </w:rPr>
            </w:pPr>
          </w:p>
        </w:tc>
        <w:tc>
          <w:tcPr>
            <w:tcW w:w="728" w:type="dxa"/>
            <w:tcBorders>
              <w:top w:val="nil"/>
              <w:left w:val="nil"/>
              <w:bottom w:val="single" w:color="auto" w:sz="8" w:space="0"/>
              <w:right w:val="single" w:color="auto" w:sz="8" w:space="0"/>
            </w:tcBorders>
            <w:shd w:val="clear" w:color="000000" w:fill="FFFFFF"/>
            <w:vAlign w:val="center"/>
          </w:tcPr>
          <w:p>
            <w:pPr>
              <w:jc w:val="both"/>
              <w:rPr>
                <w:rFonts w:asci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9</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2</w:t>
            </w:r>
          </w:p>
        </w:tc>
        <w:tc>
          <w:tcPr>
            <w:tcW w:w="3354" w:type="dxa"/>
            <w:tcBorders>
              <w:top w:val="nil"/>
              <w:left w:val="nil"/>
              <w:bottom w:val="single" w:color="auto" w:sz="8" w:space="0"/>
              <w:right w:val="single" w:color="auto" w:sz="8" w:space="0"/>
            </w:tcBorders>
            <w:shd w:val="clear" w:color="auto" w:fill="auto"/>
            <w:vAlign w:val="center"/>
          </w:tcPr>
          <w:p>
            <w:pPr>
              <w:rPr>
                <w:rFonts w:ascii="宋体"/>
                <w:color w:val="000000"/>
              </w:rPr>
            </w:pPr>
            <w:r>
              <w:rPr>
                <w:rFonts w:hint="eastAsia" w:ascii="宋体" w:hAnsi="宋体" w:cs="宋体"/>
                <w:color w:val="000000"/>
              </w:rPr>
              <w:t>车载系列天线测试方法</w:t>
            </w:r>
          </w:p>
        </w:tc>
        <w:tc>
          <w:tcPr>
            <w:tcW w:w="1204" w:type="dxa"/>
            <w:tcBorders>
              <w:top w:val="nil"/>
              <w:left w:val="nil"/>
              <w:bottom w:val="single" w:color="auto" w:sz="8" w:space="0"/>
              <w:right w:val="single" w:color="auto" w:sz="8" w:space="0"/>
            </w:tcBorders>
            <w:shd w:val="clear" w:color="000000" w:fill="FFFFFF"/>
            <w:vAlign w:val="top"/>
          </w:tcPr>
          <w:p>
            <w:pPr>
              <w:rPr>
                <w:color w:val="000000"/>
              </w:rPr>
            </w:pPr>
            <w:r>
              <w:rPr>
                <w:rFonts w:hint="eastAsia" w:ascii="宋体" w:cs="宋体"/>
                <w:color w:val="000000"/>
                <w:kern w:val="0"/>
              </w:rPr>
              <w:t>国家标准</w:t>
            </w:r>
            <w:r>
              <w:rPr>
                <w:rFonts w:ascii="宋体" w:cs="宋体"/>
                <w:color w:val="000000"/>
                <w:kern w:val="0"/>
              </w:rPr>
              <w:t>/</w:t>
            </w: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jc w:val="center"/>
              <w:rPr>
                <w:color w:val="000000"/>
              </w:rPr>
            </w:pPr>
          </w:p>
        </w:tc>
        <w:tc>
          <w:tcPr>
            <w:tcW w:w="728" w:type="dxa"/>
            <w:tcBorders>
              <w:top w:val="nil"/>
              <w:left w:val="nil"/>
              <w:bottom w:val="single" w:color="auto" w:sz="8" w:space="0"/>
              <w:right w:val="single" w:color="auto" w:sz="8" w:space="0"/>
            </w:tcBorders>
            <w:shd w:val="clear" w:color="000000" w:fill="FFFFFF"/>
            <w:vAlign w:val="center"/>
          </w:tcPr>
          <w:p>
            <w:pPr>
              <w:jc w:val="both"/>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nil"/>
              <w:left w:val="single" w:color="auto" w:sz="8" w:space="0"/>
              <w:bottom w:val="single" w:color="auto" w:sz="8" w:space="0"/>
              <w:right w:val="single" w:color="auto" w:sz="8" w:space="0"/>
            </w:tcBorders>
            <w:shd w:val="clear" w:color="auto" w:fill="FFD966"/>
            <w:vAlign w:val="center"/>
          </w:tcPr>
          <w:p>
            <w:pPr>
              <w:jc w:val="both"/>
            </w:pPr>
            <w:r>
              <w:rPr>
                <w:rFonts w:ascii="宋体" w:hAnsi="宋体" w:cs="宋体"/>
                <w:b/>
                <w:bCs/>
                <w:color w:val="000000"/>
                <w:kern w:val="0"/>
              </w:rPr>
              <w:t>BAE</w:t>
            </w:r>
            <w:r>
              <w:rPr>
                <w:rFonts w:hint="eastAsia" w:ascii="宋体" w:hAnsi="宋体" w:cs="宋体"/>
                <w:b/>
                <w:bCs/>
                <w:color w:val="000000"/>
                <w:kern w:val="0"/>
              </w:rPr>
              <w:t>无线电源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kern w:val="0"/>
              </w:rPr>
            </w:pPr>
            <w:r>
              <w:rPr>
                <w:rFonts w:ascii="宋体" w:hAnsi="宋体" w:cs="宋体"/>
                <w:kern w:val="0"/>
              </w:rPr>
              <w:t>10</w:t>
            </w:r>
          </w:p>
        </w:tc>
        <w:tc>
          <w:tcPr>
            <w:tcW w:w="510" w:type="dxa"/>
            <w:tcBorders>
              <w:top w:val="nil"/>
              <w:left w:val="nil"/>
              <w:bottom w:val="single" w:color="auto" w:sz="8" w:space="0"/>
              <w:right w:val="single" w:color="auto" w:sz="8" w:space="0"/>
            </w:tcBorders>
            <w:shd w:val="clear" w:color="000000" w:fill="FFFFFF"/>
            <w:vAlign w:val="center"/>
          </w:tcPr>
          <w:p>
            <w:pPr>
              <w:rPr>
                <w:rFonts w:ascii="宋体"/>
                <w:kern w:val="0"/>
              </w:rPr>
            </w:pPr>
            <w:r>
              <w:rPr>
                <w:rFonts w:ascii="宋体" w:hAnsi="宋体" w:cs="宋体"/>
                <w:kern w:val="0"/>
              </w:rPr>
              <w:t>1</w:t>
            </w:r>
          </w:p>
        </w:tc>
        <w:tc>
          <w:tcPr>
            <w:tcW w:w="3354" w:type="dxa"/>
            <w:tcBorders>
              <w:top w:val="nil"/>
              <w:left w:val="nil"/>
              <w:bottom w:val="single" w:color="auto" w:sz="8" w:space="0"/>
              <w:right w:val="single" w:color="auto" w:sz="8" w:space="0"/>
            </w:tcBorders>
            <w:shd w:val="clear" w:color="auto" w:fill="auto"/>
            <w:vAlign w:val="center"/>
          </w:tcPr>
          <w:p>
            <w:r>
              <w:rPr>
                <w:rFonts w:hint="eastAsia" w:cs="宋体"/>
              </w:rPr>
              <w:t>车载无线电源设备技术要求和测试方法</w:t>
            </w:r>
          </w:p>
        </w:tc>
        <w:tc>
          <w:tcPr>
            <w:tcW w:w="1204" w:type="dxa"/>
            <w:tcBorders>
              <w:top w:val="nil"/>
              <w:left w:val="nil"/>
              <w:bottom w:val="single" w:color="auto" w:sz="8" w:space="0"/>
              <w:right w:val="single" w:color="auto" w:sz="8" w:space="0"/>
            </w:tcBorders>
            <w:shd w:val="clear" w:color="000000" w:fill="FFFFFF"/>
            <w:vAlign w:val="center"/>
          </w:tcPr>
          <w:p>
            <w:r>
              <w:rPr>
                <w:rFonts w:hint="eastAsia" w:cs="宋体"/>
              </w:rPr>
              <w:t>国家标准</w:t>
            </w:r>
            <w:r>
              <w:t>/</w:t>
            </w:r>
            <w:r>
              <w:rPr>
                <w:rFonts w:hint="eastAsia" w:cs="宋体"/>
              </w:rPr>
              <w:t>行业标准</w:t>
            </w:r>
          </w:p>
        </w:tc>
        <w:tc>
          <w:tcPr>
            <w:tcW w:w="1007" w:type="dxa"/>
            <w:tcBorders>
              <w:top w:val="nil"/>
              <w:left w:val="nil"/>
              <w:bottom w:val="single" w:color="auto" w:sz="8" w:space="0"/>
              <w:right w:val="single" w:color="auto" w:sz="8" w:space="0"/>
            </w:tcBorders>
            <w:shd w:val="clear" w:color="000000" w:fill="FFFFFF"/>
            <w:vAlign w:val="center"/>
          </w:tcPr>
          <w:p/>
        </w:tc>
        <w:tc>
          <w:tcPr>
            <w:tcW w:w="882" w:type="dxa"/>
            <w:tcBorders>
              <w:top w:val="nil"/>
              <w:left w:val="nil"/>
              <w:bottom w:val="single" w:color="auto" w:sz="8" w:space="0"/>
              <w:right w:val="single" w:color="auto" w:sz="8" w:space="0"/>
            </w:tcBorders>
            <w:shd w:val="clear" w:color="000000" w:fill="FFFFFF"/>
            <w:vAlign w:val="center"/>
          </w:tcPr>
          <w:p/>
        </w:tc>
        <w:tc>
          <w:tcPr>
            <w:tcW w:w="728" w:type="dxa"/>
            <w:tcBorders>
              <w:top w:val="nil"/>
              <w:left w:val="nil"/>
              <w:bottom w:val="single" w:color="auto" w:sz="8" w:space="0"/>
              <w:right w:val="single" w:color="auto" w:sz="8" w:space="0"/>
            </w:tcBorders>
            <w:shd w:val="clear" w:color="000000" w:fill="FFFFFF"/>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kern w:val="0"/>
              </w:rPr>
            </w:pPr>
            <w:r>
              <w:rPr>
                <w:rFonts w:ascii="宋体" w:hAnsi="宋体" w:cs="宋体"/>
                <w:kern w:val="0"/>
              </w:rPr>
              <w:t>11</w:t>
            </w:r>
          </w:p>
        </w:tc>
        <w:tc>
          <w:tcPr>
            <w:tcW w:w="510" w:type="dxa"/>
            <w:tcBorders>
              <w:top w:val="nil"/>
              <w:left w:val="nil"/>
              <w:bottom w:val="single" w:color="auto" w:sz="8" w:space="0"/>
              <w:right w:val="single" w:color="auto" w:sz="8" w:space="0"/>
            </w:tcBorders>
            <w:shd w:val="clear" w:color="000000" w:fill="FFFFFF"/>
            <w:vAlign w:val="center"/>
          </w:tcPr>
          <w:p>
            <w:pPr>
              <w:rPr>
                <w:rFonts w:ascii="宋体"/>
                <w:kern w:val="0"/>
              </w:rPr>
            </w:pPr>
            <w:r>
              <w:rPr>
                <w:rFonts w:ascii="宋体" w:hAnsi="宋体" w:cs="宋体"/>
                <w:kern w:val="0"/>
              </w:rPr>
              <w:t>2</w:t>
            </w:r>
          </w:p>
        </w:tc>
        <w:tc>
          <w:tcPr>
            <w:tcW w:w="3354" w:type="dxa"/>
            <w:tcBorders>
              <w:top w:val="nil"/>
              <w:left w:val="nil"/>
              <w:bottom w:val="single" w:color="auto" w:sz="8" w:space="0"/>
              <w:right w:val="single" w:color="auto" w:sz="8" w:space="0"/>
            </w:tcBorders>
            <w:shd w:val="clear" w:color="auto" w:fill="auto"/>
            <w:vAlign w:val="center"/>
          </w:tcPr>
          <w:p>
            <w:pPr>
              <w:rPr>
                <w:color w:val="000000"/>
              </w:rPr>
            </w:pPr>
            <w:r>
              <w:rPr>
                <w:rFonts w:hint="eastAsia" w:cs="宋体"/>
                <w:color w:val="000000"/>
              </w:rPr>
              <w:t>无线电能传输（</w:t>
            </w:r>
            <w:r>
              <w:rPr>
                <w:color w:val="000000"/>
              </w:rPr>
              <w:t>WPT</w:t>
            </w:r>
            <w:r>
              <w:rPr>
                <w:rFonts w:hint="eastAsia" w:cs="宋体"/>
                <w:color w:val="000000"/>
              </w:rPr>
              <w:t>）射频技术要求和测试方法</w:t>
            </w:r>
          </w:p>
        </w:tc>
        <w:tc>
          <w:tcPr>
            <w:tcW w:w="1204" w:type="dxa"/>
            <w:tcBorders>
              <w:top w:val="nil"/>
              <w:left w:val="nil"/>
              <w:bottom w:val="single" w:color="auto" w:sz="8" w:space="0"/>
              <w:right w:val="single" w:color="auto" w:sz="8" w:space="0"/>
            </w:tcBorders>
            <w:shd w:val="clear" w:color="000000" w:fill="FFFFFF"/>
            <w:vAlign w:val="top"/>
          </w:tcPr>
          <w:p>
            <w:r>
              <w:rPr>
                <w:rFonts w:hint="eastAsia" w:cs="宋体"/>
              </w:rPr>
              <w:t>国家标准</w:t>
            </w:r>
            <w:r>
              <w:t>/</w:t>
            </w:r>
            <w:r>
              <w:rPr>
                <w:rFonts w:hint="eastAsia" w:cs="宋体"/>
              </w:rPr>
              <w:t>行业标准</w:t>
            </w:r>
          </w:p>
        </w:tc>
        <w:tc>
          <w:tcPr>
            <w:tcW w:w="1007" w:type="dxa"/>
            <w:tcBorders>
              <w:top w:val="nil"/>
              <w:left w:val="nil"/>
              <w:bottom w:val="single" w:color="auto" w:sz="8" w:space="0"/>
              <w:right w:val="single" w:color="auto" w:sz="8" w:space="0"/>
            </w:tcBorders>
            <w:shd w:val="clear" w:color="000000" w:fill="FFFFFF"/>
            <w:vAlign w:val="center"/>
          </w:tcPr>
          <w:p/>
        </w:tc>
        <w:tc>
          <w:tcPr>
            <w:tcW w:w="882" w:type="dxa"/>
            <w:tcBorders>
              <w:top w:val="nil"/>
              <w:left w:val="nil"/>
              <w:bottom w:val="single" w:color="auto" w:sz="8" w:space="0"/>
              <w:right w:val="single" w:color="auto" w:sz="8" w:space="0"/>
            </w:tcBorders>
            <w:shd w:val="clear" w:color="000000" w:fill="FFFFFF"/>
            <w:vAlign w:val="center"/>
          </w:tcPr>
          <w:p/>
        </w:tc>
        <w:tc>
          <w:tcPr>
            <w:tcW w:w="728" w:type="dxa"/>
            <w:tcBorders>
              <w:top w:val="nil"/>
              <w:left w:val="nil"/>
              <w:bottom w:val="single" w:color="auto" w:sz="8" w:space="0"/>
              <w:right w:val="single" w:color="auto" w:sz="8" w:space="0"/>
            </w:tcBorders>
            <w:shd w:val="clear" w:color="000000" w:fill="FFFFFF"/>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kern w:val="0"/>
              </w:rPr>
            </w:pPr>
            <w:r>
              <w:rPr>
                <w:rFonts w:ascii="宋体" w:hAnsi="宋体" w:cs="宋体"/>
                <w:kern w:val="0"/>
              </w:rPr>
              <w:t>12</w:t>
            </w:r>
          </w:p>
        </w:tc>
        <w:tc>
          <w:tcPr>
            <w:tcW w:w="510" w:type="dxa"/>
            <w:tcBorders>
              <w:top w:val="nil"/>
              <w:left w:val="nil"/>
              <w:bottom w:val="single" w:color="auto" w:sz="8" w:space="0"/>
              <w:right w:val="single" w:color="auto" w:sz="8" w:space="0"/>
            </w:tcBorders>
            <w:shd w:val="clear" w:color="000000" w:fill="FFFFFF"/>
            <w:vAlign w:val="center"/>
          </w:tcPr>
          <w:p>
            <w:pPr>
              <w:rPr>
                <w:rFonts w:ascii="宋体"/>
                <w:kern w:val="0"/>
              </w:rPr>
            </w:pPr>
            <w:r>
              <w:rPr>
                <w:rFonts w:ascii="宋体" w:hAnsi="宋体" w:cs="宋体"/>
                <w:kern w:val="0"/>
              </w:rPr>
              <w:t>3</w:t>
            </w:r>
          </w:p>
        </w:tc>
        <w:tc>
          <w:tcPr>
            <w:tcW w:w="3354" w:type="dxa"/>
            <w:tcBorders>
              <w:top w:val="nil"/>
              <w:left w:val="nil"/>
              <w:bottom w:val="single" w:color="auto" w:sz="8" w:space="0"/>
              <w:right w:val="single" w:color="auto" w:sz="8" w:space="0"/>
            </w:tcBorders>
            <w:shd w:val="clear" w:color="auto" w:fill="auto"/>
            <w:vAlign w:val="center"/>
          </w:tcPr>
          <w:p>
            <w:r>
              <w:rPr>
                <w:rFonts w:hint="eastAsia" w:cs="宋体"/>
              </w:rPr>
              <w:t>电动汽车无线充电系统</w:t>
            </w:r>
          </w:p>
        </w:tc>
        <w:tc>
          <w:tcPr>
            <w:tcW w:w="1204" w:type="dxa"/>
            <w:tcBorders>
              <w:top w:val="nil"/>
              <w:left w:val="nil"/>
              <w:bottom w:val="single" w:color="auto" w:sz="8" w:space="0"/>
              <w:right w:val="single" w:color="auto" w:sz="8" w:space="0"/>
            </w:tcBorders>
            <w:shd w:val="clear" w:color="000000" w:fill="FFFFFF"/>
            <w:vAlign w:val="top"/>
          </w:tcPr>
          <w:p>
            <w:r>
              <w:rPr>
                <w:rFonts w:hint="eastAsia" w:cs="宋体"/>
              </w:rPr>
              <w:t>国家标准</w:t>
            </w:r>
            <w:r>
              <w:t>/</w:t>
            </w:r>
            <w:r>
              <w:rPr>
                <w:rFonts w:hint="eastAsia" w:cs="宋体"/>
              </w:rPr>
              <w:t>行业标准</w:t>
            </w:r>
          </w:p>
        </w:tc>
        <w:tc>
          <w:tcPr>
            <w:tcW w:w="1007" w:type="dxa"/>
            <w:tcBorders>
              <w:top w:val="nil"/>
              <w:left w:val="nil"/>
              <w:bottom w:val="single" w:color="auto" w:sz="8" w:space="0"/>
              <w:right w:val="single" w:color="auto" w:sz="8" w:space="0"/>
            </w:tcBorders>
            <w:shd w:val="clear" w:color="000000" w:fill="FFFFFF"/>
            <w:vAlign w:val="center"/>
          </w:tcPr>
          <w:p/>
        </w:tc>
        <w:tc>
          <w:tcPr>
            <w:tcW w:w="882" w:type="dxa"/>
            <w:tcBorders>
              <w:top w:val="nil"/>
              <w:left w:val="nil"/>
              <w:bottom w:val="single" w:color="auto" w:sz="8" w:space="0"/>
              <w:right w:val="single" w:color="auto" w:sz="8" w:space="0"/>
            </w:tcBorders>
            <w:shd w:val="clear" w:color="000000" w:fill="FFFFFF"/>
            <w:vAlign w:val="center"/>
          </w:tcPr>
          <w:p/>
        </w:tc>
        <w:tc>
          <w:tcPr>
            <w:tcW w:w="728" w:type="dxa"/>
            <w:tcBorders>
              <w:top w:val="nil"/>
              <w:left w:val="nil"/>
              <w:bottom w:val="single" w:color="auto" w:sz="8" w:space="0"/>
              <w:right w:val="single" w:color="auto" w:sz="8" w:space="0"/>
            </w:tcBorders>
            <w:shd w:val="clear" w:color="000000" w:fill="FFFFFF"/>
            <w:vAlign w:val="center"/>
          </w:tcPr>
          <w:p>
            <w:pPr>
              <w:jc w:val="both"/>
              <w:rPr>
                <w:rFonts w:asci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nil"/>
              <w:left w:val="single" w:color="auto" w:sz="8" w:space="0"/>
              <w:bottom w:val="single" w:color="auto" w:sz="8" w:space="0"/>
              <w:right w:val="single" w:color="auto" w:sz="8" w:space="0"/>
            </w:tcBorders>
            <w:shd w:val="clear" w:color="auto" w:fill="92D050"/>
            <w:vAlign w:val="center"/>
          </w:tcPr>
          <w:p>
            <w:pPr>
              <w:rPr>
                <w:rFonts w:ascii="宋体"/>
                <w:b/>
                <w:bCs/>
                <w:color w:val="000000"/>
                <w:kern w:val="0"/>
              </w:rPr>
            </w:pPr>
            <w:r>
              <w:rPr>
                <w:rFonts w:ascii="宋体" w:hAnsi="宋体" w:cs="宋体"/>
                <w:b/>
                <w:bCs/>
                <w:color w:val="000000"/>
                <w:kern w:val="0"/>
              </w:rPr>
              <w:t>BB</w:t>
            </w:r>
            <w:r>
              <w:rPr>
                <w:rFonts w:hint="eastAsia" w:ascii="宋体" w:hAnsi="宋体" w:cs="宋体"/>
                <w:b/>
                <w:bCs/>
                <w:color w:val="000000"/>
                <w:kern w:val="0"/>
              </w:rPr>
              <w:t>通信协议和设备技术标准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nil"/>
              <w:left w:val="single" w:color="auto" w:sz="8" w:space="0"/>
              <w:bottom w:val="single" w:color="auto" w:sz="8" w:space="0"/>
              <w:right w:val="single" w:color="auto" w:sz="8" w:space="0"/>
            </w:tcBorders>
            <w:shd w:val="clear" w:color="auto" w:fill="FFD966"/>
            <w:vAlign w:val="center"/>
          </w:tcPr>
          <w:p>
            <w:pPr>
              <w:rPr>
                <w:rFonts w:ascii="宋体"/>
                <w:b/>
                <w:bCs/>
                <w:color w:val="000000"/>
                <w:kern w:val="0"/>
              </w:rPr>
            </w:pPr>
            <w:r>
              <w:rPr>
                <w:rFonts w:ascii="宋体" w:hAnsi="宋体" w:cs="宋体"/>
                <w:b/>
                <w:bCs/>
                <w:color w:val="000000"/>
                <w:kern w:val="0"/>
              </w:rPr>
              <w:t>BBA LTE-V</w:t>
            </w:r>
            <w:r>
              <w:rPr>
                <w:rFonts w:hint="eastAsia" w:ascii="宋体" w:hAnsi="宋体" w:cs="宋体"/>
                <w:b/>
                <w:bCs/>
                <w:color w:val="000000"/>
                <w:kern w:val="0"/>
              </w:rPr>
              <w:t>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13</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w:t>
            </w:r>
          </w:p>
        </w:tc>
        <w:tc>
          <w:tcPr>
            <w:tcW w:w="3354" w:type="dxa"/>
            <w:tcBorders>
              <w:top w:val="nil"/>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rPr>
              <w:t>基于</w:t>
            </w:r>
            <w:r>
              <w:rPr>
                <w:rFonts w:ascii="宋体" w:hAnsi="宋体" w:cs="宋体"/>
              </w:rPr>
              <w:t>LTE</w:t>
            </w:r>
            <w:r>
              <w:rPr>
                <w:rFonts w:hint="eastAsia" w:ascii="宋体" w:hAnsi="宋体" w:cs="宋体"/>
              </w:rPr>
              <w:t>的无线通信技术空中接口技术要求和测试方法</w:t>
            </w:r>
          </w:p>
        </w:tc>
        <w:tc>
          <w:tcPr>
            <w:tcW w:w="1204" w:type="dxa"/>
            <w:tcBorders>
              <w:top w:val="nil"/>
              <w:left w:val="nil"/>
              <w:bottom w:val="single" w:color="auto" w:sz="8" w:space="0"/>
              <w:right w:val="single" w:color="auto" w:sz="8" w:space="0"/>
            </w:tcBorders>
            <w:shd w:val="clear" w:color="000000" w:fill="FFFFFF"/>
            <w:vAlign w:val="top"/>
          </w:tcPr>
          <w:p>
            <w:pPr>
              <w:rPr>
                <w:rFonts w:ascii="宋体"/>
                <w:color w:val="000000"/>
                <w:kern w:val="0"/>
              </w:rPr>
            </w:pPr>
            <w:r>
              <w:rPr>
                <w:rFonts w:hint="eastAsia" w:ascii="宋体" w:hAnsi="宋体" w:cs="宋体"/>
                <w:color w:val="000000"/>
                <w:kern w:val="0"/>
              </w:rPr>
              <w:t>国家标准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14</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2</w:t>
            </w:r>
          </w:p>
        </w:tc>
        <w:tc>
          <w:tcPr>
            <w:tcW w:w="3354" w:type="dxa"/>
            <w:tcBorders>
              <w:top w:val="nil"/>
              <w:left w:val="nil"/>
              <w:bottom w:val="single" w:color="auto" w:sz="8" w:space="0"/>
              <w:right w:val="single" w:color="auto" w:sz="8" w:space="0"/>
            </w:tcBorders>
            <w:shd w:val="clear" w:color="auto" w:fill="auto"/>
            <w:vAlign w:val="center"/>
          </w:tcPr>
          <w:p>
            <w:pPr>
              <w:rPr>
                <w:rFonts w:ascii="宋体"/>
                <w:color w:val="000000"/>
                <w:kern w:val="0"/>
              </w:rPr>
            </w:pPr>
            <w:r>
              <w:rPr>
                <w:rFonts w:hint="eastAsia" w:ascii="宋体" w:hAnsi="宋体" w:cs="宋体"/>
              </w:rPr>
              <w:t>基于</w:t>
            </w:r>
            <w:r>
              <w:rPr>
                <w:rFonts w:ascii="宋体" w:hAnsi="宋体" w:cs="宋体"/>
              </w:rPr>
              <w:t>LTE</w:t>
            </w:r>
            <w:r>
              <w:rPr>
                <w:rFonts w:hint="eastAsia" w:ascii="宋体" w:hAnsi="宋体" w:cs="宋体"/>
              </w:rPr>
              <w:t>网络的无线通信技术总体技术要求</w:t>
            </w:r>
          </w:p>
        </w:tc>
        <w:tc>
          <w:tcPr>
            <w:tcW w:w="1204" w:type="dxa"/>
            <w:tcBorders>
              <w:top w:val="nil"/>
              <w:left w:val="nil"/>
              <w:bottom w:val="single" w:color="auto" w:sz="8" w:space="0"/>
              <w:right w:val="single" w:color="auto" w:sz="8" w:space="0"/>
            </w:tcBorders>
            <w:shd w:val="clear" w:color="000000" w:fill="FFFFFF"/>
            <w:vAlign w:val="top"/>
          </w:tcPr>
          <w:p>
            <w:pPr>
              <w:rPr>
                <w:rFonts w:ascii="宋体"/>
                <w:color w:val="000000"/>
                <w:kern w:val="0"/>
              </w:rPr>
            </w:pPr>
            <w:r>
              <w:rPr>
                <w:rFonts w:hint="eastAsia" w:ascii="宋体" w:hAnsi="宋体" w:cs="宋体"/>
                <w:color w:val="000000"/>
                <w:kern w:val="0"/>
              </w:rPr>
              <w:t>国家标准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交通</w:t>
            </w: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15</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3</w:t>
            </w:r>
          </w:p>
        </w:tc>
        <w:tc>
          <w:tcPr>
            <w:tcW w:w="3354" w:type="dxa"/>
            <w:tcBorders>
              <w:top w:val="nil"/>
              <w:left w:val="nil"/>
              <w:bottom w:val="single" w:color="auto" w:sz="8" w:space="0"/>
              <w:right w:val="single" w:color="auto" w:sz="8" w:space="0"/>
            </w:tcBorders>
            <w:shd w:val="clear" w:color="auto" w:fill="auto"/>
            <w:vAlign w:val="center"/>
          </w:tcPr>
          <w:p>
            <w:pPr>
              <w:rPr>
                <w:rFonts w:ascii="宋体"/>
              </w:rPr>
            </w:pPr>
            <w:r>
              <w:rPr>
                <w:rFonts w:ascii="宋体" w:hAnsi="宋体" w:cs="宋体"/>
              </w:rPr>
              <w:t>LTE-V2X</w:t>
            </w:r>
            <w:r>
              <w:rPr>
                <w:rFonts w:hint="eastAsia" w:ascii="宋体" w:hAnsi="宋体" w:cs="宋体"/>
              </w:rPr>
              <w:t>网络层技术要求和测试方法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国家标准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16</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4</w:t>
            </w:r>
          </w:p>
        </w:tc>
        <w:tc>
          <w:tcPr>
            <w:tcW w:w="3354" w:type="dxa"/>
            <w:tcBorders>
              <w:top w:val="nil"/>
              <w:left w:val="nil"/>
              <w:bottom w:val="single" w:color="auto" w:sz="8" w:space="0"/>
              <w:right w:val="single" w:color="auto" w:sz="8" w:space="0"/>
            </w:tcBorders>
            <w:shd w:val="clear" w:color="auto" w:fill="auto"/>
            <w:vAlign w:val="center"/>
          </w:tcPr>
          <w:p>
            <w:pPr>
              <w:rPr>
                <w:rFonts w:ascii="宋体"/>
              </w:rPr>
            </w:pPr>
            <w:r>
              <w:rPr>
                <w:rFonts w:ascii="宋体" w:hAnsi="宋体" w:cs="宋体"/>
              </w:rPr>
              <w:t>LTE-V2X</w:t>
            </w:r>
            <w:r>
              <w:rPr>
                <w:rFonts w:hint="eastAsia" w:ascii="宋体" w:hAnsi="宋体" w:cs="宋体"/>
              </w:rPr>
              <w:t>应用层技术要求和测试方法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国家标准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17</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5</w:t>
            </w:r>
          </w:p>
        </w:tc>
        <w:tc>
          <w:tcPr>
            <w:tcW w:w="3354" w:type="dxa"/>
            <w:tcBorders>
              <w:top w:val="nil"/>
              <w:left w:val="nil"/>
              <w:bottom w:val="single" w:color="auto" w:sz="8" w:space="0"/>
              <w:right w:val="single" w:color="auto" w:sz="8" w:space="0"/>
            </w:tcBorders>
            <w:shd w:val="clear" w:color="auto" w:fill="auto"/>
            <w:vAlign w:val="center"/>
          </w:tcPr>
          <w:p>
            <w:pPr>
              <w:rPr>
                <w:rFonts w:ascii="宋体"/>
              </w:rPr>
            </w:pPr>
            <w:r>
              <w:rPr>
                <w:rFonts w:ascii="宋体" w:hAnsi="宋体" w:cs="宋体"/>
              </w:rPr>
              <w:t>LTE-V2X</w:t>
            </w:r>
            <w:r>
              <w:rPr>
                <w:rFonts w:hint="eastAsia" w:ascii="宋体" w:hAnsi="宋体" w:cs="宋体"/>
              </w:rPr>
              <w:t>基站设备技术要求和测试方法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18</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6</w:t>
            </w:r>
          </w:p>
        </w:tc>
        <w:tc>
          <w:tcPr>
            <w:tcW w:w="3354" w:type="dxa"/>
            <w:tcBorders>
              <w:top w:val="nil"/>
              <w:left w:val="nil"/>
              <w:bottom w:val="single" w:color="auto" w:sz="8" w:space="0"/>
              <w:right w:val="single" w:color="auto" w:sz="8" w:space="0"/>
            </w:tcBorders>
            <w:shd w:val="clear" w:color="auto" w:fill="auto"/>
            <w:vAlign w:val="center"/>
          </w:tcPr>
          <w:p>
            <w:pPr>
              <w:rPr>
                <w:rFonts w:ascii="宋体"/>
              </w:rPr>
            </w:pPr>
            <w:r>
              <w:rPr>
                <w:rFonts w:ascii="宋体" w:hAnsi="宋体" w:cs="宋体"/>
              </w:rPr>
              <w:t>LTE-V2X</w:t>
            </w:r>
            <w:r>
              <w:rPr>
                <w:rFonts w:hint="eastAsia" w:ascii="宋体" w:hAnsi="宋体" w:cs="宋体"/>
              </w:rPr>
              <w:t>终端设备技术要求和测试方法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color w:val="000000"/>
                <w:kern w:val="0"/>
              </w:rPr>
            </w:pPr>
            <w:r>
              <w:rPr>
                <w:rFonts w:ascii="宋体" w:hAnsi="宋体" w:cs="宋体"/>
                <w:color w:val="000000"/>
                <w:kern w:val="0"/>
              </w:rPr>
              <w:t>19</w:t>
            </w:r>
          </w:p>
        </w:tc>
        <w:tc>
          <w:tcPr>
            <w:tcW w:w="510" w:type="dxa"/>
            <w:tcBorders>
              <w:top w:val="nil"/>
              <w:left w:val="nil"/>
              <w:bottom w:val="single" w:color="auto" w:sz="8" w:space="0"/>
              <w:right w:val="single" w:color="auto" w:sz="8" w:space="0"/>
            </w:tcBorders>
            <w:shd w:val="clear" w:color="000000" w:fill="FFFFFF"/>
            <w:vAlign w:val="center"/>
          </w:tcPr>
          <w:p>
            <w:pPr>
              <w:rPr>
                <w:rFonts w:ascii="宋体" w:hAnsi="宋体" w:cs="宋体"/>
                <w:color w:val="000000"/>
                <w:kern w:val="0"/>
              </w:rPr>
            </w:pPr>
            <w:r>
              <w:rPr>
                <w:rFonts w:ascii="宋体" w:hAnsi="宋体" w:cs="宋体"/>
                <w:color w:val="000000"/>
                <w:kern w:val="0"/>
              </w:rPr>
              <w:t>7</w:t>
            </w:r>
          </w:p>
        </w:tc>
        <w:tc>
          <w:tcPr>
            <w:tcW w:w="3354" w:type="dxa"/>
            <w:tcBorders>
              <w:top w:val="nil"/>
              <w:left w:val="nil"/>
              <w:bottom w:val="single" w:color="auto" w:sz="8" w:space="0"/>
              <w:right w:val="single" w:color="auto" w:sz="8" w:space="0"/>
            </w:tcBorders>
            <w:shd w:val="clear" w:color="auto" w:fill="auto"/>
            <w:vAlign w:val="center"/>
          </w:tcPr>
          <w:p>
            <w:pPr>
              <w:shd w:val="clear" w:color="auto" w:fill="FFFFFF"/>
              <w:rPr>
                <w:rFonts w:ascii="宋体" w:hAnsi="宋体" w:cs="宋体"/>
              </w:rPr>
            </w:pPr>
            <w:r>
              <w:rPr>
                <w:rFonts w:ascii="宋体" w:hAnsi="宋体" w:cs="宋体"/>
              </w:rPr>
              <w:t>LTE-V2X</w:t>
            </w:r>
            <w:r>
              <w:rPr>
                <w:rFonts w:hint="eastAsia" w:ascii="宋体" w:hAnsi="宋体" w:cs="宋体"/>
              </w:rPr>
              <w:t>路侧设备技术要求和测试方法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hAnsi="宋体" w:cs="宋体"/>
                <w:color w:val="000000"/>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s="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nil"/>
              <w:left w:val="single" w:color="auto" w:sz="8" w:space="0"/>
              <w:bottom w:val="single" w:color="auto" w:sz="8" w:space="0"/>
              <w:right w:val="single" w:color="auto" w:sz="8" w:space="0"/>
            </w:tcBorders>
            <w:shd w:val="clear" w:color="auto" w:fill="FFD966"/>
            <w:vAlign w:val="center"/>
          </w:tcPr>
          <w:p>
            <w:pPr>
              <w:rPr>
                <w:rFonts w:ascii="宋体"/>
                <w:color w:val="000000"/>
                <w:kern w:val="0"/>
              </w:rPr>
            </w:pPr>
            <w:r>
              <w:rPr>
                <w:rFonts w:ascii="宋体" w:hAnsi="宋体" w:cs="宋体"/>
                <w:b/>
                <w:bCs/>
                <w:color w:val="000000"/>
                <w:kern w:val="0"/>
              </w:rPr>
              <w:t>BBB 5G eV2X</w:t>
            </w:r>
            <w:r>
              <w:rPr>
                <w:rFonts w:hint="eastAsia" w:ascii="宋体" w:hAnsi="宋体" w:cs="宋体"/>
                <w:b/>
                <w:bCs/>
                <w:color w:val="000000"/>
                <w:kern w:val="0"/>
              </w:rPr>
              <w:t>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color w:val="000000"/>
                <w:kern w:val="0"/>
              </w:rPr>
            </w:pPr>
            <w:r>
              <w:rPr>
                <w:rFonts w:ascii="宋体" w:hAnsi="宋体" w:cs="宋体"/>
                <w:color w:val="000000"/>
                <w:kern w:val="0"/>
              </w:rPr>
              <w:t>20</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w:t>
            </w:r>
          </w:p>
        </w:tc>
        <w:tc>
          <w:tcPr>
            <w:tcW w:w="3354" w:type="dxa"/>
            <w:tcBorders>
              <w:top w:val="nil"/>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rPr>
              <w:t>基于</w:t>
            </w:r>
            <w:r>
              <w:rPr>
                <w:rFonts w:ascii="宋体" w:hAnsi="宋体" w:cs="宋体"/>
                <w:color w:val="000000"/>
                <w:kern w:val="0"/>
              </w:rPr>
              <w:t>5G eV2X</w:t>
            </w:r>
            <w:r>
              <w:rPr>
                <w:rFonts w:hint="eastAsia" w:ascii="宋体" w:hAnsi="宋体" w:cs="宋体"/>
              </w:rPr>
              <w:t>的无线通信技术空中接口技术要求和测试方法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21</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2</w:t>
            </w:r>
          </w:p>
        </w:tc>
        <w:tc>
          <w:tcPr>
            <w:tcW w:w="3354" w:type="dxa"/>
            <w:tcBorders>
              <w:top w:val="nil"/>
              <w:left w:val="nil"/>
              <w:bottom w:val="single" w:color="auto" w:sz="8" w:space="0"/>
              <w:right w:val="single" w:color="auto" w:sz="8" w:space="0"/>
            </w:tcBorders>
            <w:shd w:val="clear" w:color="auto" w:fill="auto"/>
            <w:vAlign w:val="center"/>
          </w:tcPr>
          <w:p>
            <w:pPr>
              <w:rPr>
                <w:rFonts w:ascii="宋体"/>
                <w:color w:val="000000"/>
                <w:kern w:val="0"/>
              </w:rPr>
            </w:pPr>
            <w:r>
              <w:rPr>
                <w:rFonts w:hint="eastAsia" w:ascii="宋体" w:hAnsi="宋体" w:cs="宋体"/>
              </w:rPr>
              <w:t>基于</w:t>
            </w:r>
            <w:r>
              <w:rPr>
                <w:rFonts w:ascii="宋体" w:hAnsi="宋体" w:cs="宋体"/>
                <w:color w:val="000000"/>
                <w:kern w:val="0"/>
              </w:rPr>
              <w:t>5G eV2X</w:t>
            </w:r>
            <w:r>
              <w:rPr>
                <w:rFonts w:hint="eastAsia" w:ascii="宋体" w:hAnsi="宋体" w:cs="宋体"/>
              </w:rPr>
              <w:t>网络的无线通信技术总体技术要求</w:t>
            </w:r>
          </w:p>
        </w:tc>
        <w:tc>
          <w:tcPr>
            <w:tcW w:w="1204"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国家标准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22</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3</w:t>
            </w:r>
          </w:p>
        </w:tc>
        <w:tc>
          <w:tcPr>
            <w:tcW w:w="3354" w:type="dxa"/>
            <w:tcBorders>
              <w:top w:val="nil"/>
              <w:left w:val="nil"/>
              <w:bottom w:val="single" w:color="auto" w:sz="8" w:space="0"/>
              <w:right w:val="single" w:color="auto" w:sz="8" w:space="0"/>
            </w:tcBorders>
            <w:shd w:val="clear" w:color="auto" w:fill="auto"/>
            <w:vAlign w:val="center"/>
          </w:tcPr>
          <w:p>
            <w:pPr>
              <w:rPr>
                <w:rFonts w:ascii="宋体"/>
              </w:rPr>
            </w:pPr>
            <w:r>
              <w:rPr>
                <w:rFonts w:ascii="宋体" w:hAnsi="宋体" w:cs="宋体"/>
                <w:color w:val="000000"/>
                <w:kern w:val="0"/>
              </w:rPr>
              <w:t>5G eV2X</w:t>
            </w:r>
            <w:r>
              <w:rPr>
                <w:rFonts w:hint="eastAsia" w:ascii="宋体" w:hAnsi="宋体" w:cs="宋体"/>
              </w:rPr>
              <w:t>网络层测试方法</w:t>
            </w:r>
          </w:p>
        </w:tc>
        <w:tc>
          <w:tcPr>
            <w:tcW w:w="1204" w:type="dxa"/>
            <w:tcBorders>
              <w:top w:val="nil"/>
              <w:left w:val="nil"/>
              <w:bottom w:val="single" w:color="auto" w:sz="8" w:space="0"/>
              <w:right w:val="single" w:color="auto" w:sz="8" w:space="0"/>
            </w:tcBorders>
            <w:shd w:val="clear" w:color="000000" w:fill="FFFFFF"/>
            <w:vAlign w:val="top"/>
          </w:tcPr>
          <w:p>
            <w:pPr>
              <w:rPr>
                <w:rFonts w:ascii="宋体"/>
                <w:color w:val="000000"/>
                <w:kern w:val="0"/>
              </w:rPr>
            </w:pPr>
            <w:r>
              <w:rPr>
                <w:rFonts w:hint="eastAsia" w:ascii="宋体" w:hAnsi="宋体" w:cs="宋体"/>
                <w:color w:val="000000"/>
                <w:kern w:val="0"/>
              </w:rPr>
              <w:t>国家标准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23</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4</w:t>
            </w:r>
          </w:p>
        </w:tc>
        <w:tc>
          <w:tcPr>
            <w:tcW w:w="3354" w:type="dxa"/>
            <w:tcBorders>
              <w:top w:val="nil"/>
              <w:left w:val="nil"/>
              <w:bottom w:val="single" w:color="auto" w:sz="8" w:space="0"/>
              <w:right w:val="single" w:color="auto" w:sz="8" w:space="0"/>
            </w:tcBorders>
            <w:shd w:val="clear" w:color="auto" w:fill="auto"/>
            <w:vAlign w:val="center"/>
          </w:tcPr>
          <w:p>
            <w:pPr>
              <w:rPr>
                <w:rFonts w:ascii="宋体"/>
              </w:rPr>
            </w:pPr>
            <w:r>
              <w:rPr>
                <w:rFonts w:ascii="宋体" w:hAnsi="宋体" w:cs="宋体"/>
                <w:color w:val="000000"/>
                <w:kern w:val="0"/>
              </w:rPr>
              <w:t>5G eV2X</w:t>
            </w:r>
            <w:r>
              <w:rPr>
                <w:rFonts w:hint="eastAsia" w:ascii="宋体" w:hAnsi="宋体" w:cs="宋体"/>
              </w:rPr>
              <w:t>应用层测试方法</w:t>
            </w:r>
          </w:p>
        </w:tc>
        <w:tc>
          <w:tcPr>
            <w:tcW w:w="1204" w:type="dxa"/>
            <w:tcBorders>
              <w:top w:val="nil"/>
              <w:left w:val="nil"/>
              <w:bottom w:val="single" w:color="auto" w:sz="8" w:space="0"/>
              <w:right w:val="single" w:color="auto" w:sz="8" w:space="0"/>
            </w:tcBorders>
            <w:shd w:val="clear" w:color="000000" w:fill="FFFFFF"/>
            <w:vAlign w:val="top"/>
          </w:tcPr>
          <w:p>
            <w:pPr>
              <w:rPr>
                <w:rFonts w:ascii="宋体"/>
                <w:color w:val="000000"/>
                <w:kern w:val="0"/>
              </w:rPr>
            </w:pPr>
            <w:r>
              <w:rPr>
                <w:rFonts w:hint="eastAsia" w:ascii="宋体" w:hAnsi="宋体" w:cs="宋体"/>
                <w:color w:val="000000"/>
                <w:kern w:val="0"/>
              </w:rPr>
              <w:t>国家标准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24</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5</w:t>
            </w:r>
          </w:p>
        </w:tc>
        <w:tc>
          <w:tcPr>
            <w:tcW w:w="3354" w:type="dxa"/>
            <w:tcBorders>
              <w:top w:val="nil"/>
              <w:left w:val="nil"/>
              <w:bottom w:val="single" w:color="auto" w:sz="8" w:space="0"/>
              <w:right w:val="single" w:color="auto" w:sz="8" w:space="0"/>
            </w:tcBorders>
            <w:shd w:val="clear" w:color="auto" w:fill="auto"/>
            <w:vAlign w:val="center"/>
          </w:tcPr>
          <w:p>
            <w:pPr>
              <w:rPr>
                <w:rFonts w:ascii="宋体"/>
              </w:rPr>
            </w:pPr>
            <w:r>
              <w:rPr>
                <w:rFonts w:ascii="宋体" w:hAnsi="宋体" w:cs="宋体"/>
                <w:color w:val="000000"/>
                <w:kern w:val="0"/>
              </w:rPr>
              <w:t>5G eV2X</w:t>
            </w:r>
            <w:r>
              <w:rPr>
                <w:rFonts w:hint="eastAsia" w:ascii="宋体" w:hAnsi="宋体" w:cs="宋体"/>
              </w:rPr>
              <w:t>基站设备技术要求和测试方法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25</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6</w:t>
            </w:r>
          </w:p>
        </w:tc>
        <w:tc>
          <w:tcPr>
            <w:tcW w:w="3354" w:type="dxa"/>
            <w:tcBorders>
              <w:top w:val="nil"/>
              <w:left w:val="nil"/>
              <w:bottom w:val="single" w:color="auto" w:sz="8" w:space="0"/>
              <w:right w:val="single" w:color="auto" w:sz="8" w:space="0"/>
            </w:tcBorders>
            <w:shd w:val="clear" w:color="auto" w:fill="auto"/>
            <w:vAlign w:val="center"/>
          </w:tcPr>
          <w:p>
            <w:pPr>
              <w:rPr>
                <w:rFonts w:ascii="宋体"/>
              </w:rPr>
            </w:pPr>
            <w:r>
              <w:rPr>
                <w:rFonts w:ascii="宋体" w:hAnsi="宋体" w:cs="宋体"/>
                <w:color w:val="000000"/>
                <w:kern w:val="0"/>
              </w:rPr>
              <w:t>5G eV2X</w:t>
            </w:r>
            <w:r>
              <w:rPr>
                <w:rFonts w:hint="eastAsia" w:ascii="宋体" w:hAnsi="宋体" w:cs="宋体"/>
              </w:rPr>
              <w:t>终端设备技术要求和测试方法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hAnsi="宋体" w:cs="宋体"/>
                <w:color w:val="000000"/>
                <w:kern w:val="0"/>
              </w:rPr>
            </w:pPr>
            <w:r>
              <w:rPr>
                <w:rFonts w:ascii="宋体" w:hAnsi="宋体" w:cs="宋体"/>
                <w:color w:val="000000"/>
                <w:kern w:val="0"/>
              </w:rPr>
              <w:t>26</w:t>
            </w:r>
          </w:p>
        </w:tc>
        <w:tc>
          <w:tcPr>
            <w:tcW w:w="510" w:type="dxa"/>
            <w:tcBorders>
              <w:top w:val="nil"/>
              <w:left w:val="nil"/>
              <w:bottom w:val="single" w:color="auto" w:sz="8" w:space="0"/>
              <w:right w:val="single" w:color="auto" w:sz="8" w:space="0"/>
            </w:tcBorders>
            <w:shd w:val="clear" w:color="000000" w:fill="FFFFFF"/>
            <w:vAlign w:val="center"/>
          </w:tcPr>
          <w:p>
            <w:pPr>
              <w:rPr>
                <w:rFonts w:ascii="宋体" w:hAnsi="宋体" w:cs="宋体"/>
                <w:color w:val="000000"/>
                <w:kern w:val="0"/>
              </w:rPr>
            </w:pPr>
            <w:r>
              <w:rPr>
                <w:rFonts w:ascii="宋体" w:hAnsi="宋体" w:cs="宋体"/>
                <w:color w:val="000000"/>
                <w:kern w:val="0"/>
              </w:rPr>
              <w:t>7</w:t>
            </w:r>
          </w:p>
        </w:tc>
        <w:tc>
          <w:tcPr>
            <w:tcW w:w="335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kern w:val="0"/>
              </w:rPr>
            </w:pPr>
            <w:r>
              <w:rPr>
                <w:rFonts w:ascii="宋体" w:hAnsi="宋体" w:cs="宋体"/>
                <w:color w:val="000000"/>
                <w:kern w:val="0"/>
              </w:rPr>
              <w:t>5G eV2X</w:t>
            </w:r>
            <w:r>
              <w:rPr>
                <w:rFonts w:hint="eastAsia" w:ascii="宋体" w:hAnsi="宋体" w:cs="宋体"/>
              </w:rPr>
              <w:t>路侧设备技术要求和测试方法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hAnsi="宋体" w:cs="宋体"/>
                <w:color w:val="000000"/>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27</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8</w:t>
            </w:r>
          </w:p>
        </w:tc>
        <w:tc>
          <w:tcPr>
            <w:tcW w:w="3354" w:type="dxa"/>
            <w:tcBorders>
              <w:top w:val="nil"/>
              <w:left w:val="nil"/>
              <w:bottom w:val="single" w:color="auto" w:sz="8" w:space="0"/>
              <w:right w:val="single" w:color="auto" w:sz="8" w:space="0"/>
            </w:tcBorders>
            <w:shd w:val="clear" w:color="auto" w:fill="auto"/>
            <w:vAlign w:val="center"/>
          </w:tcPr>
          <w:p>
            <w:pPr>
              <w:rPr>
                <w:rFonts w:ascii="宋体"/>
              </w:rPr>
            </w:pPr>
            <w:r>
              <w:rPr>
                <w:rFonts w:ascii="宋体" w:hAnsi="宋体" w:cs="宋体"/>
                <w:color w:val="000000"/>
                <w:kern w:val="0"/>
              </w:rPr>
              <w:t>5G eV2X</w:t>
            </w:r>
            <w:r>
              <w:rPr>
                <w:rFonts w:hint="eastAsia" w:ascii="宋体" w:hAnsi="宋体" w:cs="宋体"/>
              </w:rPr>
              <w:t>网络层技术要求</w:t>
            </w:r>
          </w:p>
        </w:tc>
        <w:tc>
          <w:tcPr>
            <w:tcW w:w="1204" w:type="dxa"/>
            <w:tcBorders>
              <w:top w:val="nil"/>
              <w:left w:val="nil"/>
              <w:bottom w:val="single" w:color="auto" w:sz="8" w:space="0"/>
              <w:right w:val="single" w:color="auto" w:sz="8" w:space="0"/>
            </w:tcBorders>
            <w:shd w:val="clear" w:color="000000" w:fill="FFFFFF"/>
            <w:vAlign w:val="top"/>
          </w:tcPr>
          <w:p>
            <w:pPr>
              <w:rPr>
                <w:rFonts w:ascii="宋体"/>
                <w:color w:val="000000"/>
                <w:kern w:val="0"/>
              </w:rPr>
            </w:pPr>
            <w:r>
              <w:rPr>
                <w:rFonts w:hint="eastAsia" w:ascii="宋体" w:hAnsi="宋体" w:cs="宋体"/>
                <w:color w:val="000000"/>
                <w:kern w:val="0"/>
              </w:rPr>
              <w:t>国家标准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28</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9</w:t>
            </w:r>
          </w:p>
        </w:tc>
        <w:tc>
          <w:tcPr>
            <w:tcW w:w="3354" w:type="dxa"/>
            <w:tcBorders>
              <w:top w:val="nil"/>
              <w:left w:val="nil"/>
              <w:bottom w:val="single" w:color="auto" w:sz="8" w:space="0"/>
              <w:right w:val="single" w:color="auto" w:sz="8" w:space="0"/>
            </w:tcBorders>
            <w:shd w:val="clear" w:color="auto" w:fill="auto"/>
            <w:vAlign w:val="center"/>
          </w:tcPr>
          <w:p>
            <w:pPr>
              <w:rPr>
                <w:rFonts w:ascii="宋体"/>
              </w:rPr>
            </w:pPr>
            <w:r>
              <w:rPr>
                <w:rFonts w:ascii="宋体" w:hAnsi="宋体" w:cs="宋体"/>
                <w:color w:val="000000"/>
                <w:kern w:val="0"/>
              </w:rPr>
              <w:t>5G eV2X</w:t>
            </w:r>
            <w:r>
              <w:rPr>
                <w:rFonts w:hint="eastAsia" w:ascii="宋体" w:hAnsi="宋体" w:cs="宋体"/>
              </w:rPr>
              <w:t>应用层技术要求</w:t>
            </w:r>
          </w:p>
        </w:tc>
        <w:tc>
          <w:tcPr>
            <w:tcW w:w="1204" w:type="dxa"/>
            <w:tcBorders>
              <w:top w:val="nil"/>
              <w:left w:val="nil"/>
              <w:bottom w:val="single" w:color="auto" w:sz="8" w:space="0"/>
              <w:right w:val="single" w:color="auto" w:sz="8" w:space="0"/>
            </w:tcBorders>
            <w:shd w:val="clear" w:color="000000" w:fill="FFFFFF"/>
            <w:vAlign w:val="top"/>
          </w:tcPr>
          <w:p>
            <w:pPr>
              <w:rPr>
                <w:rFonts w:ascii="宋体"/>
                <w:color w:val="000000"/>
                <w:kern w:val="0"/>
              </w:rPr>
            </w:pPr>
            <w:r>
              <w:rPr>
                <w:rFonts w:hint="eastAsia" w:ascii="宋体" w:hAnsi="宋体" w:cs="宋体"/>
                <w:color w:val="000000"/>
                <w:kern w:val="0"/>
              </w:rPr>
              <w:t>国家标准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29</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10</w:t>
            </w:r>
          </w:p>
        </w:tc>
        <w:tc>
          <w:tcPr>
            <w:tcW w:w="3354" w:type="dxa"/>
            <w:tcBorders>
              <w:top w:val="nil"/>
              <w:left w:val="nil"/>
              <w:bottom w:val="single" w:color="auto" w:sz="8" w:space="0"/>
              <w:right w:val="single" w:color="auto" w:sz="8" w:space="0"/>
            </w:tcBorders>
            <w:shd w:val="clear" w:color="auto" w:fill="auto"/>
            <w:vAlign w:val="bottom"/>
          </w:tcPr>
          <w:p>
            <w:pPr>
              <w:rPr>
                <w:rFonts w:ascii="宋体"/>
              </w:rPr>
            </w:pPr>
            <w:r>
              <w:rPr>
                <w:rFonts w:hint="eastAsia" w:ascii="宋体" w:hAnsi="宋体" w:cs="宋体"/>
              </w:rPr>
              <w:t>面向低时延高可靠的</w:t>
            </w:r>
            <w:r>
              <w:rPr>
                <w:rFonts w:ascii="宋体" w:hAnsi="宋体" w:cs="宋体"/>
              </w:rPr>
              <w:t>5G</w:t>
            </w:r>
            <w:r>
              <w:rPr>
                <w:rFonts w:hint="eastAsia" w:ascii="宋体" w:hAnsi="宋体" w:cs="宋体"/>
              </w:rPr>
              <w:t>基站设备技术要求</w:t>
            </w:r>
            <w:r>
              <w:rPr>
                <w:rFonts w:ascii="宋体" w:hAnsi="宋体" w:cs="宋体"/>
              </w:rPr>
              <w:t>(</w:t>
            </w:r>
            <w:r>
              <w:rPr>
                <w:rFonts w:hint="eastAsia" w:ascii="宋体" w:hAnsi="宋体" w:cs="宋体"/>
              </w:rPr>
              <w:t>第一阶段）</w:t>
            </w:r>
          </w:p>
        </w:tc>
        <w:tc>
          <w:tcPr>
            <w:tcW w:w="1204" w:type="dxa"/>
            <w:tcBorders>
              <w:top w:val="nil"/>
              <w:left w:val="nil"/>
              <w:bottom w:val="single" w:color="auto" w:sz="8" w:space="0"/>
              <w:right w:val="single" w:color="auto" w:sz="8" w:space="0"/>
            </w:tcBorders>
            <w:shd w:val="clear" w:color="000000" w:fill="FFFFFF"/>
            <w:vAlign w:val="top"/>
          </w:tcPr>
          <w:p>
            <w:pPr>
              <w:rPr>
                <w:rFonts w:ascii="宋体"/>
                <w:color w:val="000000"/>
                <w:kern w:val="0"/>
              </w:rPr>
            </w:pPr>
            <w:r>
              <w:rPr>
                <w:rFonts w:hint="eastAsia" w:ascii="宋体" w:hAnsi="宋体" w:cs="宋体"/>
                <w:color w:val="000000"/>
                <w:kern w:val="0"/>
              </w:rPr>
              <w:t>国家标准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30</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11</w:t>
            </w:r>
          </w:p>
        </w:tc>
        <w:tc>
          <w:tcPr>
            <w:tcW w:w="3354" w:type="dxa"/>
            <w:tcBorders>
              <w:top w:val="nil"/>
              <w:left w:val="nil"/>
              <w:bottom w:val="single" w:color="auto" w:sz="8" w:space="0"/>
              <w:right w:val="single" w:color="auto" w:sz="8" w:space="0"/>
            </w:tcBorders>
            <w:shd w:val="clear" w:color="auto" w:fill="auto"/>
            <w:vAlign w:val="bottom"/>
          </w:tcPr>
          <w:p>
            <w:pPr>
              <w:rPr>
                <w:rFonts w:ascii="宋体"/>
              </w:rPr>
            </w:pPr>
            <w:r>
              <w:rPr>
                <w:rFonts w:hint="eastAsia" w:ascii="宋体" w:hAnsi="宋体" w:cs="宋体"/>
              </w:rPr>
              <w:t>面向低时延高可靠的</w:t>
            </w:r>
            <w:r>
              <w:rPr>
                <w:rFonts w:ascii="宋体" w:hAnsi="宋体" w:cs="宋体"/>
              </w:rPr>
              <w:t>5G</w:t>
            </w:r>
            <w:r>
              <w:rPr>
                <w:rFonts w:hint="eastAsia" w:ascii="宋体" w:hAnsi="宋体" w:cs="宋体"/>
              </w:rPr>
              <w:t>基站设备测试方法</w:t>
            </w:r>
            <w:r>
              <w:rPr>
                <w:rFonts w:ascii="宋体" w:hAnsi="宋体" w:cs="宋体"/>
              </w:rPr>
              <w:t>(</w:t>
            </w:r>
            <w:r>
              <w:rPr>
                <w:rFonts w:hint="eastAsia" w:ascii="宋体" w:hAnsi="宋体" w:cs="宋体"/>
              </w:rPr>
              <w:t>第一阶段）</w:t>
            </w:r>
          </w:p>
        </w:tc>
        <w:tc>
          <w:tcPr>
            <w:tcW w:w="1204" w:type="dxa"/>
            <w:tcBorders>
              <w:top w:val="nil"/>
              <w:left w:val="nil"/>
              <w:bottom w:val="single" w:color="auto" w:sz="8" w:space="0"/>
              <w:right w:val="single" w:color="auto" w:sz="8" w:space="0"/>
            </w:tcBorders>
            <w:shd w:val="clear" w:color="000000" w:fill="FFFFFF"/>
            <w:vAlign w:val="top"/>
          </w:tcPr>
          <w:p>
            <w:pPr>
              <w:rPr>
                <w:rFonts w:ascii="宋体"/>
                <w:color w:val="000000"/>
                <w:kern w:val="0"/>
              </w:rPr>
            </w:pPr>
            <w:r>
              <w:rPr>
                <w:rFonts w:hint="eastAsia" w:ascii="宋体" w:hAnsi="宋体" w:cs="宋体"/>
                <w:color w:val="000000"/>
                <w:kern w:val="0"/>
              </w:rPr>
              <w:t>国家标准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31</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12</w:t>
            </w:r>
          </w:p>
        </w:tc>
        <w:tc>
          <w:tcPr>
            <w:tcW w:w="3354" w:type="dxa"/>
            <w:tcBorders>
              <w:top w:val="nil"/>
              <w:left w:val="nil"/>
              <w:bottom w:val="single" w:color="auto" w:sz="8" w:space="0"/>
              <w:right w:val="single" w:color="auto" w:sz="8" w:space="0"/>
            </w:tcBorders>
            <w:shd w:val="clear" w:color="auto" w:fill="auto"/>
            <w:vAlign w:val="bottom"/>
          </w:tcPr>
          <w:p>
            <w:pPr>
              <w:rPr>
                <w:rFonts w:ascii="宋体"/>
              </w:rPr>
            </w:pPr>
            <w:r>
              <w:rPr>
                <w:rFonts w:hint="eastAsia" w:ascii="宋体" w:hAnsi="宋体" w:cs="宋体"/>
              </w:rPr>
              <w:t>面向低时延高可靠的</w:t>
            </w:r>
            <w:r>
              <w:rPr>
                <w:rFonts w:ascii="宋体" w:hAnsi="宋体" w:cs="宋体"/>
              </w:rPr>
              <w:t>5G</w:t>
            </w:r>
            <w:r>
              <w:rPr>
                <w:rFonts w:hint="eastAsia" w:ascii="宋体" w:hAnsi="宋体" w:cs="宋体"/>
              </w:rPr>
              <w:t>终端设备技术要求</w:t>
            </w:r>
            <w:r>
              <w:rPr>
                <w:rFonts w:ascii="宋体" w:hAnsi="宋体" w:cs="宋体"/>
              </w:rPr>
              <w:t>(</w:t>
            </w:r>
            <w:r>
              <w:rPr>
                <w:rFonts w:hint="eastAsia" w:ascii="宋体" w:hAnsi="宋体" w:cs="宋体"/>
              </w:rPr>
              <w:t>第一阶段）</w:t>
            </w:r>
          </w:p>
        </w:tc>
        <w:tc>
          <w:tcPr>
            <w:tcW w:w="1204" w:type="dxa"/>
            <w:tcBorders>
              <w:top w:val="nil"/>
              <w:left w:val="nil"/>
              <w:bottom w:val="single" w:color="auto" w:sz="8" w:space="0"/>
              <w:right w:val="single" w:color="auto" w:sz="8" w:space="0"/>
            </w:tcBorders>
            <w:shd w:val="clear" w:color="000000" w:fill="FFFFFF"/>
            <w:vAlign w:val="top"/>
          </w:tcPr>
          <w:p>
            <w:pPr>
              <w:rPr>
                <w:rFonts w:ascii="宋体"/>
                <w:color w:val="000000"/>
                <w:kern w:val="0"/>
              </w:rPr>
            </w:pPr>
            <w:r>
              <w:rPr>
                <w:rFonts w:hint="eastAsia" w:ascii="宋体" w:hAnsi="宋体" w:cs="宋体"/>
                <w:color w:val="000000"/>
                <w:kern w:val="0"/>
              </w:rPr>
              <w:t>国家标准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32</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13</w:t>
            </w:r>
          </w:p>
        </w:tc>
        <w:tc>
          <w:tcPr>
            <w:tcW w:w="3354" w:type="dxa"/>
            <w:tcBorders>
              <w:top w:val="nil"/>
              <w:left w:val="nil"/>
              <w:bottom w:val="single" w:color="auto" w:sz="8" w:space="0"/>
              <w:right w:val="single" w:color="auto" w:sz="8" w:space="0"/>
            </w:tcBorders>
            <w:shd w:val="clear" w:color="auto" w:fill="auto"/>
            <w:vAlign w:val="bottom"/>
          </w:tcPr>
          <w:p>
            <w:pPr>
              <w:rPr>
                <w:rFonts w:ascii="宋体"/>
              </w:rPr>
            </w:pPr>
            <w:r>
              <w:rPr>
                <w:rFonts w:hint="eastAsia" w:ascii="宋体" w:hAnsi="宋体" w:cs="宋体"/>
              </w:rPr>
              <w:t>面向低时延高可靠的终端设备测试方法</w:t>
            </w:r>
            <w:r>
              <w:rPr>
                <w:rFonts w:ascii="宋体" w:hAnsi="宋体" w:cs="宋体"/>
              </w:rPr>
              <w:t>(</w:t>
            </w:r>
            <w:r>
              <w:rPr>
                <w:rFonts w:hint="eastAsia" w:ascii="宋体" w:hAnsi="宋体" w:cs="宋体"/>
              </w:rPr>
              <w:t>第一阶段）</w:t>
            </w:r>
          </w:p>
        </w:tc>
        <w:tc>
          <w:tcPr>
            <w:tcW w:w="1204" w:type="dxa"/>
            <w:tcBorders>
              <w:top w:val="nil"/>
              <w:left w:val="nil"/>
              <w:bottom w:val="single" w:color="auto" w:sz="8" w:space="0"/>
              <w:right w:val="single" w:color="auto" w:sz="8" w:space="0"/>
            </w:tcBorders>
            <w:shd w:val="clear" w:color="000000" w:fill="FFFFFF"/>
            <w:vAlign w:val="top"/>
          </w:tcPr>
          <w:p>
            <w:pPr>
              <w:rPr>
                <w:rFonts w:ascii="宋体"/>
                <w:color w:val="000000"/>
                <w:kern w:val="0"/>
              </w:rPr>
            </w:pPr>
            <w:r>
              <w:rPr>
                <w:rFonts w:hint="eastAsia" w:ascii="宋体" w:hAnsi="宋体" w:cs="宋体"/>
                <w:color w:val="000000"/>
                <w:kern w:val="0"/>
              </w:rPr>
              <w:t>国家标准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33</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14</w:t>
            </w:r>
          </w:p>
        </w:tc>
        <w:tc>
          <w:tcPr>
            <w:tcW w:w="3354" w:type="dxa"/>
            <w:tcBorders>
              <w:top w:val="nil"/>
              <w:left w:val="nil"/>
              <w:bottom w:val="single" w:color="auto" w:sz="8" w:space="0"/>
              <w:right w:val="single" w:color="auto" w:sz="8" w:space="0"/>
            </w:tcBorders>
            <w:shd w:val="clear" w:color="auto" w:fill="auto"/>
            <w:vAlign w:val="center"/>
          </w:tcPr>
          <w:p>
            <w:pPr>
              <w:rPr>
                <w:rFonts w:ascii="宋体"/>
              </w:rPr>
            </w:pPr>
            <w:r>
              <w:rPr>
                <w:rFonts w:ascii="宋体" w:hAnsi="宋体" w:cs="宋体"/>
              </w:rPr>
              <w:t>5G</w:t>
            </w:r>
            <w:r>
              <w:rPr>
                <w:rFonts w:hint="eastAsia" w:ascii="宋体" w:hAnsi="宋体" w:cs="宋体"/>
              </w:rPr>
              <w:t>支持车联网产业应用的网络策略控制技术要求</w:t>
            </w:r>
          </w:p>
        </w:tc>
        <w:tc>
          <w:tcPr>
            <w:tcW w:w="1204" w:type="dxa"/>
            <w:tcBorders>
              <w:top w:val="nil"/>
              <w:left w:val="nil"/>
              <w:bottom w:val="single" w:color="auto" w:sz="8" w:space="0"/>
              <w:right w:val="single" w:color="auto" w:sz="8" w:space="0"/>
            </w:tcBorders>
            <w:shd w:val="clear" w:color="000000" w:fill="FFFFFF"/>
            <w:vAlign w:val="top"/>
          </w:tcPr>
          <w:p>
            <w:pPr>
              <w:rPr>
                <w:rFonts w:ascii="宋体"/>
                <w:color w:val="000000"/>
                <w:kern w:val="0"/>
              </w:rPr>
            </w:pPr>
            <w:r>
              <w:rPr>
                <w:rFonts w:hint="eastAsia" w:ascii="宋体" w:hAnsi="宋体" w:cs="宋体"/>
                <w:color w:val="000000"/>
                <w:kern w:val="0"/>
              </w:rPr>
              <w:t>国家标准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nil"/>
              <w:left w:val="single" w:color="auto" w:sz="8" w:space="0"/>
              <w:bottom w:val="single" w:color="auto" w:sz="8" w:space="0"/>
              <w:right w:val="single" w:color="auto" w:sz="8" w:space="0"/>
            </w:tcBorders>
            <w:shd w:val="clear" w:color="auto" w:fill="FFD966"/>
            <w:vAlign w:val="center"/>
          </w:tcPr>
          <w:p>
            <w:pPr>
              <w:rPr>
                <w:rFonts w:ascii="宋体"/>
                <w:color w:val="000000"/>
                <w:kern w:val="0"/>
              </w:rPr>
            </w:pPr>
            <w:r>
              <w:rPr>
                <w:rFonts w:ascii="宋体" w:hAnsi="宋体" w:cs="宋体"/>
                <w:b/>
                <w:bCs/>
                <w:color w:val="000000"/>
                <w:kern w:val="0"/>
              </w:rPr>
              <w:t>BBC</w:t>
            </w:r>
            <w:r>
              <w:rPr>
                <w:rFonts w:hint="eastAsia" w:ascii="宋体" w:hAnsi="宋体" w:cs="宋体"/>
                <w:b/>
                <w:bCs/>
                <w:color w:val="000000"/>
                <w:kern w:val="0"/>
              </w:rPr>
              <w:t>卫星通信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34</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w:t>
            </w:r>
          </w:p>
        </w:tc>
        <w:tc>
          <w:tcPr>
            <w:tcW w:w="3354" w:type="dxa"/>
            <w:tcBorders>
              <w:top w:val="nil"/>
              <w:left w:val="nil"/>
              <w:bottom w:val="single" w:color="auto" w:sz="8" w:space="0"/>
              <w:right w:val="single" w:color="auto" w:sz="8" w:space="0"/>
            </w:tcBorders>
            <w:shd w:val="clear" w:color="auto" w:fill="auto"/>
            <w:vAlign w:val="center"/>
          </w:tcPr>
          <w:p>
            <w:pPr>
              <w:rPr>
                <w:rFonts w:ascii="宋体"/>
                <w:color w:val="000000"/>
                <w:kern w:val="0"/>
              </w:rPr>
            </w:pPr>
            <w:r>
              <w:rPr>
                <w:rFonts w:hint="eastAsia" w:ascii="宋体" w:hAnsi="宋体" w:cs="宋体"/>
                <w:color w:val="000000"/>
                <w:kern w:val="0"/>
              </w:rPr>
              <w:t>卫星数据回传（</w:t>
            </w:r>
            <w:r>
              <w:rPr>
                <w:rFonts w:ascii="宋体" w:hAnsi="宋体" w:cs="宋体"/>
                <w:color w:val="000000"/>
                <w:kern w:val="0"/>
              </w:rPr>
              <w:t>RCS</w:t>
            </w:r>
            <w:r>
              <w:rPr>
                <w:rFonts w:hint="eastAsia" w:ascii="宋体" w:hAnsi="宋体" w:cs="宋体"/>
                <w:color w:val="000000"/>
                <w:kern w:val="0"/>
              </w:rPr>
              <w:t>）通信技术规范第</w:t>
            </w:r>
            <w:r>
              <w:rPr>
                <w:rFonts w:ascii="宋体" w:hAnsi="宋体" w:cs="宋体"/>
                <w:color w:val="000000"/>
                <w:kern w:val="0"/>
              </w:rPr>
              <w:t>2</w:t>
            </w:r>
            <w:r>
              <w:rPr>
                <w:rFonts w:hint="eastAsia" w:ascii="宋体" w:hAnsi="宋体" w:cs="宋体"/>
                <w:color w:val="000000"/>
                <w:kern w:val="0"/>
              </w:rPr>
              <w:t>部分：车载系统通用技术规范</w:t>
            </w:r>
          </w:p>
        </w:tc>
        <w:tc>
          <w:tcPr>
            <w:tcW w:w="1204"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hAnsi="宋体" w:cs="宋体"/>
                <w:kern w:val="0"/>
              </w:rPr>
              <w:t>35</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2</w:t>
            </w:r>
          </w:p>
        </w:tc>
        <w:tc>
          <w:tcPr>
            <w:tcW w:w="3354" w:type="dxa"/>
            <w:tcBorders>
              <w:top w:val="nil"/>
              <w:left w:val="nil"/>
              <w:bottom w:val="single" w:color="auto" w:sz="8" w:space="0"/>
              <w:right w:val="single" w:color="auto" w:sz="8" w:space="0"/>
            </w:tcBorders>
            <w:shd w:val="clear" w:color="auto" w:fill="auto"/>
            <w:vAlign w:val="center"/>
          </w:tcPr>
          <w:p>
            <w:pPr>
              <w:rPr>
                <w:rFonts w:ascii="宋体"/>
                <w:color w:val="000000"/>
                <w:kern w:val="0"/>
              </w:rPr>
            </w:pPr>
            <w:r>
              <w:rPr>
                <w:rFonts w:hint="eastAsia" w:ascii="宋体" w:hAnsi="宋体" w:cs="宋体"/>
                <w:color w:val="000000"/>
                <w:kern w:val="0"/>
              </w:rPr>
              <w:t>卫星通信地球站设备车载（静止</w:t>
            </w:r>
            <w:r>
              <w:rPr>
                <w:rFonts w:ascii="宋体" w:hAnsi="宋体" w:cs="宋体"/>
                <w:color w:val="000000"/>
                <w:kern w:val="0"/>
              </w:rPr>
              <w:t>/</w:t>
            </w:r>
            <w:r>
              <w:rPr>
                <w:rFonts w:hint="eastAsia" w:ascii="宋体" w:hAnsi="宋体" w:cs="宋体"/>
                <w:color w:val="000000"/>
                <w:kern w:val="0"/>
              </w:rPr>
              <w:t>移动）天线和伺服系统测试方法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kern w:val="0"/>
              </w:rPr>
            </w:pPr>
            <w:r>
              <w:rPr>
                <w:rFonts w:ascii="宋体" w:cs="宋体"/>
                <w:kern w:val="0"/>
              </w:rPr>
              <w:t>36</w:t>
            </w:r>
          </w:p>
        </w:tc>
        <w:tc>
          <w:tcPr>
            <w:tcW w:w="510" w:type="dxa"/>
            <w:tcBorders>
              <w:top w:val="nil"/>
              <w:left w:val="nil"/>
              <w:bottom w:val="single" w:color="auto" w:sz="8" w:space="0"/>
              <w:right w:val="single" w:color="auto" w:sz="8" w:space="0"/>
            </w:tcBorders>
            <w:shd w:val="clear" w:color="000000" w:fill="FFFFFF"/>
            <w:vAlign w:val="center"/>
          </w:tcPr>
          <w:p>
            <w:pPr>
              <w:rPr>
                <w:rFonts w:ascii="宋体" w:hAnsi="宋体" w:cs="宋体"/>
                <w:kern w:val="0"/>
              </w:rPr>
            </w:pPr>
            <w:r>
              <w:rPr>
                <w:rFonts w:ascii="宋体" w:hAnsi="宋体" w:cs="宋体"/>
                <w:kern w:val="0"/>
              </w:rPr>
              <w:t>3</w:t>
            </w:r>
          </w:p>
        </w:tc>
        <w:tc>
          <w:tcPr>
            <w:tcW w:w="3354" w:type="dxa"/>
            <w:tcBorders>
              <w:top w:val="nil"/>
              <w:left w:val="nil"/>
              <w:bottom w:val="single" w:color="auto" w:sz="8" w:space="0"/>
              <w:right w:val="single" w:color="auto" w:sz="8" w:space="0"/>
            </w:tcBorders>
            <w:shd w:val="clear" w:color="auto" w:fill="auto"/>
            <w:vAlign w:val="center"/>
          </w:tcPr>
          <w:p>
            <w:pPr>
              <w:rPr>
                <w:rFonts w:ascii="宋体"/>
                <w:kern w:val="0"/>
              </w:rPr>
            </w:pPr>
            <w:r>
              <w:rPr>
                <w:rFonts w:hint="eastAsia" w:ascii="宋体" w:hAnsi="宋体" w:cs="宋体"/>
                <w:kern w:val="0"/>
              </w:rPr>
              <w:t>车载卫星终端通用技术要求和测试方法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kern w:val="0"/>
              </w:rPr>
            </w:pPr>
            <w:r>
              <w:rPr>
                <w:rFonts w:hint="eastAsia" w:ascii="宋体" w:hAnsi="宋体" w:cs="宋体"/>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kern w:val="0"/>
              </w:rPr>
            </w:pPr>
            <w:r>
              <w:rPr>
                <w:rFonts w:ascii="宋体" w:cs="宋体"/>
                <w:kern w:val="0"/>
              </w:rPr>
              <w:t>37</w:t>
            </w:r>
          </w:p>
        </w:tc>
        <w:tc>
          <w:tcPr>
            <w:tcW w:w="510" w:type="dxa"/>
            <w:tcBorders>
              <w:top w:val="nil"/>
              <w:left w:val="nil"/>
              <w:bottom w:val="single" w:color="auto" w:sz="8" w:space="0"/>
              <w:right w:val="single" w:color="auto" w:sz="8" w:space="0"/>
            </w:tcBorders>
            <w:shd w:val="clear" w:color="000000" w:fill="FFFFFF"/>
            <w:vAlign w:val="center"/>
          </w:tcPr>
          <w:p>
            <w:pPr>
              <w:rPr>
                <w:rFonts w:ascii="宋体"/>
                <w:kern w:val="0"/>
              </w:rPr>
            </w:pPr>
            <w:r>
              <w:rPr>
                <w:rFonts w:ascii="宋体" w:hAnsi="宋体" w:cs="宋体"/>
                <w:kern w:val="0"/>
              </w:rPr>
              <w:t>4</w:t>
            </w:r>
          </w:p>
        </w:tc>
        <w:tc>
          <w:tcPr>
            <w:tcW w:w="3354" w:type="dxa"/>
            <w:tcBorders>
              <w:top w:val="nil"/>
              <w:left w:val="nil"/>
              <w:bottom w:val="single" w:color="auto" w:sz="8" w:space="0"/>
              <w:right w:val="single" w:color="auto" w:sz="8" w:space="0"/>
            </w:tcBorders>
            <w:shd w:val="clear" w:color="auto" w:fill="auto"/>
            <w:vAlign w:val="center"/>
          </w:tcPr>
          <w:p>
            <w:pPr>
              <w:rPr>
                <w:rFonts w:ascii="宋体"/>
                <w:kern w:val="0"/>
              </w:rPr>
            </w:pPr>
            <w:r>
              <w:rPr>
                <w:rFonts w:hint="eastAsia" w:cs="宋体"/>
              </w:rPr>
              <w:t>车载</w:t>
            </w:r>
            <w:r>
              <w:rPr>
                <w:rFonts w:hint="eastAsia" w:ascii="宋体" w:hAnsi="宋体" w:cs="宋体"/>
                <w:kern w:val="0"/>
              </w:rPr>
              <w:t>卫星通信设备电磁兼容性要求和测试方法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nil"/>
              <w:left w:val="single" w:color="auto" w:sz="8" w:space="0"/>
              <w:bottom w:val="single" w:color="auto" w:sz="8" w:space="0"/>
              <w:right w:val="single" w:color="auto" w:sz="8" w:space="0"/>
            </w:tcBorders>
            <w:shd w:val="clear" w:color="auto" w:fill="FFD966"/>
            <w:vAlign w:val="center"/>
          </w:tcPr>
          <w:p>
            <w:pPr>
              <w:rPr>
                <w:rFonts w:ascii="宋体"/>
                <w:b/>
                <w:color w:val="000000"/>
                <w:kern w:val="0"/>
              </w:rPr>
            </w:pPr>
            <w:r>
              <w:rPr>
                <w:rFonts w:ascii="宋体"/>
                <w:b/>
                <w:color w:val="000000"/>
                <w:kern w:val="0"/>
              </w:rPr>
              <w:t xml:space="preserve">BBD </w:t>
            </w:r>
            <w:r>
              <w:rPr>
                <w:rFonts w:hint="eastAsia" w:ascii="宋体" w:hAnsi="宋体" w:cs="宋体"/>
                <w:b/>
                <w:bCs/>
                <w:color w:val="000000"/>
                <w:kern w:val="0"/>
              </w:rPr>
              <w:t>导航与定位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38</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w:t>
            </w:r>
          </w:p>
        </w:tc>
        <w:tc>
          <w:tcPr>
            <w:tcW w:w="3354" w:type="dxa"/>
            <w:tcBorders>
              <w:top w:val="nil"/>
              <w:left w:val="nil"/>
              <w:bottom w:val="single" w:color="auto" w:sz="8" w:space="0"/>
              <w:right w:val="single" w:color="auto" w:sz="8" w:space="0"/>
            </w:tcBorders>
            <w:shd w:val="clear" w:color="auto" w:fill="auto"/>
            <w:vAlign w:val="center"/>
          </w:tcPr>
          <w:p>
            <w:pPr>
              <w:rPr>
                <w:rFonts w:ascii="宋体"/>
                <w:color w:val="000000"/>
              </w:rPr>
            </w:pPr>
            <w:r>
              <w:rPr>
                <w:rFonts w:hint="eastAsia" w:ascii="宋体" w:hAnsi="宋体" w:cs="宋体"/>
                <w:color w:val="000000"/>
              </w:rPr>
              <w:t>车载导航定位系统技术要求</w:t>
            </w:r>
          </w:p>
        </w:tc>
        <w:tc>
          <w:tcPr>
            <w:tcW w:w="1204" w:type="dxa"/>
            <w:tcBorders>
              <w:top w:val="nil"/>
              <w:left w:val="nil"/>
              <w:bottom w:val="single" w:color="auto" w:sz="8" w:space="0"/>
              <w:right w:val="single" w:color="auto" w:sz="8" w:space="0"/>
            </w:tcBorders>
            <w:shd w:val="clear" w:color="000000" w:fill="FFFFFF"/>
            <w:vAlign w:val="top"/>
          </w:tcPr>
          <w:p>
            <w:pPr>
              <w:rPr>
                <w:color w:val="000000"/>
              </w:rPr>
            </w:pPr>
            <w:r>
              <w:rPr>
                <w:rFonts w:hint="eastAsia" w:ascii="宋体" w:cs="宋体"/>
                <w:color w:val="000000"/>
                <w:kern w:val="0"/>
              </w:rPr>
              <w:t>国家标准</w:t>
            </w:r>
            <w:r>
              <w:rPr>
                <w:rFonts w:ascii="宋体" w:cs="宋体"/>
                <w:color w:val="000000"/>
                <w:kern w:val="0"/>
              </w:rPr>
              <w:t>/</w:t>
            </w: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行标已立项</w:t>
            </w:r>
          </w:p>
        </w:tc>
        <w:tc>
          <w:tcPr>
            <w:tcW w:w="882" w:type="dxa"/>
            <w:tcBorders>
              <w:top w:val="nil"/>
              <w:left w:val="nil"/>
              <w:bottom w:val="single" w:color="auto" w:sz="8" w:space="0"/>
              <w:right w:val="single" w:color="auto" w:sz="8" w:space="0"/>
            </w:tcBorders>
            <w:shd w:val="clear" w:color="000000" w:fill="FFFFFF"/>
            <w:vAlign w:val="center"/>
          </w:tcPr>
          <w:p>
            <w:pPr>
              <w:jc w:val="center"/>
              <w:rPr>
                <w:color w:val="000000"/>
              </w:rPr>
            </w:pPr>
          </w:p>
        </w:tc>
        <w:tc>
          <w:tcPr>
            <w:tcW w:w="728" w:type="dxa"/>
            <w:tcBorders>
              <w:top w:val="nil"/>
              <w:left w:val="nil"/>
              <w:bottom w:val="single" w:color="auto" w:sz="8" w:space="0"/>
              <w:right w:val="single" w:color="auto" w:sz="8" w:space="0"/>
            </w:tcBorders>
            <w:shd w:val="clear" w:color="000000" w:fill="FFFFFF"/>
            <w:vAlign w:val="center"/>
          </w:tcPr>
          <w:p>
            <w:pPr>
              <w:jc w:val="both"/>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39</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2</w:t>
            </w:r>
          </w:p>
        </w:tc>
        <w:tc>
          <w:tcPr>
            <w:tcW w:w="3354" w:type="dxa"/>
            <w:tcBorders>
              <w:top w:val="nil"/>
              <w:left w:val="nil"/>
              <w:bottom w:val="single" w:color="auto" w:sz="8" w:space="0"/>
              <w:right w:val="single" w:color="auto" w:sz="8" w:space="0"/>
            </w:tcBorders>
            <w:shd w:val="clear" w:color="auto" w:fill="auto"/>
            <w:vAlign w:val="center"/>
          </w:tcPr>
          <w:p>
            <w:pPr>
              <w:rPr>
                <w:rFonts w:ascii="宋体"/>
                <w:color w:val="000000"/>
              </w:rPr>
            </w:pPr>
            <w:r>
              <w:rPr>
                <w:rFonts w:hint="eastAsia" w:ascii="宋体" w:hAnsi="宋体" w:cs="宋体"/>
                <w:color w:val="000000"/>
              </w:rPr>
              <w:t>车载导航定位系统测试方法</w:t>
            </w:r>
          </w:p>
        </w:tc>
        <w:tc>
          <w:tcPr>
            <w:tcW w:w="1204" w:type="dxa"/>
            <w:tcBorders>
              <w:top w:val="nil"/>
              <w:left w:val="nil"/>
              <w:bottom w:val="single" w:color="auto" w:sz="8" w:space="0"/>
              <w:right w:val="single" w:color="auto" w:sz="8" w:space="0"/>
            </w:tcBorders>
            <w:shd w:val="clear" w:color="000000" w:fill="FFFFFF"/>
            <w:vAlign w:val="top"/>
          </w:tcPr>
          <w:p>
            <w:pPr>
              <w:rPr>
                <w:color w:val="000000"/>
              </w:rPr>
            </w:pPr>
            <w:r>
              <w:rPr>
                <w:rFonts w:hint="eastAsia" w:ascii="宋体" w:cs="宋体"/>
                <w:color w:val="000000"/>
                <w:kern w:val="0"/>
              </w:rPr>
              <w:t>国家标准</w:t>
            </w:r>
            <w:r>
              <w:rPr>
                <w:rFonts w:ascii="宋体" w:cs="宋体"/>
                <w:color w:val="000000"/>
                <w:kern w:val="0"/>
              </w:rPr>
              <w:t>/</w:t>
            </w: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jc w:val="center"/>
              <w:rPr>
                <w:color w:val="000000"/>
              </w:rPr>
            </w:pPr>
          </w:p>
        </w:tc>
        <w:tc>
          <w:tcPr>
            <w:tcW w:w="728" w:type="dxa"/>
            <w:tcBorders>
              <w:top w:val="nil"/>
              <w:left w:val="nil"/>
              <w:bottom w:val="single" w:color="auto" w:sz="8" w:space="0"/>
              <w:right w:val="single" w:color="auto" w:sz="8" w:space="0"/>
            </w:tcBorders>
            <w:shd w:val="clear" w:color="000000" w:fill="FFFFFF"/>
            <w:vAlign w:val="center"/>
          </w:tcPr>
          <w:p>
            <w:pPr>
              <w:jc w:val="both"/>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40</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3</w:t>
            </w:r>
          </w:p>
        </w:tc>
        <w:tc>
          <w:tcPr>
            <w:tcW w:w="3354" w:type="dxa"/>
            <w:tcBorders>
              <w:top w:val="nil"/>
              <w:left w:val="nil"/>
              <w:bottom w:val="single" w:color="auto" w:sz="8" w:space="0"/>
              <w:right w:val="single" w:color="auto" w:sz="8" w:space="0"/>
            </w:tcBorders>
            <w:shd w:val="clear" w:color="auto" w:fill="auto"/>
            <w:vAlign w:val="center"/>
          </w:tcPr>
          <w:p>
            <w:pPr>
              <w:rPr>
                <w:rFonts w:ascii="宋体"/>
                <w:color w:val="000000"/>
              </w:rPr>
            </w:pPr>
            <w:r>
              <w:rPr>
                <w:rFonts w:hint="eastAsia" w:ascii="宋体" w:hAnsi="宋体" w:cs="宋体"/>
                <w:color w:val="000000"/>
              </w:rPr>
              <w:t>车载导航定位系统定时性能要求和测试方法</w:t>
            </w:r>
          </w:p>
        </w:tc>
        <w:tc>
          <w:tcPr>
            <w:tcW w:w="1204" w:type="dxa"/>
            <w:tcBorders>
              <w:top w:val="nil"/>
              <w:left w:val="nil"/>
              <w:bottom w:val="single" w:color="auto" w:sz="8" w:space="0"/>
              <w:right w:val="single" w:color="auto" w:sz="8" w:space="0"/>
            </w:tcBorders>
            <w:shd w:val="clear" w:color="000000" w:fill="FFFFFF"/>
            <w:vAlign w:val="top"/>
          </w:tcPr>
          <w:p>
            <w:pPr>
              <w:rPr>
                <w:color w:val="000000"/>
              </w:rPr>
            </w:pPr>
            <w:r>
              <w:rPr>
                <w:rFonts w:hint="eastAsia" w:ascii="宋体" w:cs="宋体"/>
                <w:color w:val="000000"/>
                <w:kern w:val="0"/>
              </w:rPr>
              <w:t>国家标准</w:t>
            </w:r>
            <w:r>
              <w:rPr>
                <w:rFonts w:ascii="宋体" w:cs="宋体"/>
                <w:color w:val="000000"/>
                <w:kern w:val="0"/>
              </w:rPr>
              <w:t>/</w:t>
            </w: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jc w:val="center"/>
              <w:rPr>
                <w:color w:val="000000"/>
              </w:rPr>
            </w:pPr>
          </w:p>
        </w:tc>
        <w:tc>
          <w:tcPr>
            <w:tcW w:w="728" w:type="dxa"/>
            <w:tcBorders>
              <w:top w:val="nil"/>
              <w:left w:val="nil"/>
              <w:bottom w:val="single" w:color="auto" w:sz="8" w:space="0"/>
              <w:right w:val="single" w:color="auto" w:sz="8" w:space="0"/>
            </w:tcBorders>
            <w:shd w:val="clear" w:color="000000" w:fill="FFFFFF"/>
            <w:vAlign w:val="center"/>
          </w:tcPr>
          <w:p>
            <w:pPr>
              <w:jc w:val="both"/>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41</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4</w:t>
            </w:r>
          </w:p>
        </w:tc>
        <w:tc>
          <w:tcPr>
            <w:tcW w:w="3354" w:type="dxa"/>
            <w:tcBorders>
              <w:top w:val="nil"/>
              <w:left w:val="nil"/>
              <w:bottom w:val="single" w:color="auto" w:sz="8" w:space="0"/>
              <w:right w:val="single" w:color="auto" w:sz="8" w:space="0"/>
            </w:tcBorders>
            <w:shd w:val="clear" w:color="auto" w:fill="auto"/>
            <w:vAlign w:val="center"/>
          </w:tcPr>
          <w:p>
            <w:pPr>
              <w:rPr>
                <w:rFonts w:ascii="宋体"/>
                <w:color w:val="000000"/>
              </w:rPr>
            </w:pPr>
            <w:r>
              <w:rPr>
                <w:rFonts w:hint="eastAsia" w:ascii="宋体" w:hAnsi="宋体" w:cs="宋体"/>
                <w:color w:val="000000"/>
                <w:kern w:val="0"/>
              </w:rPr>
              <w:t>车载导航定位系统电兼容性要求和测试方法</w:t>
            </w:r>
          </w:p>
        </w:tc>
        <w:tc>
          <w:tcPr>
            <w:tcW w:w="1204" w:type="dxa"/>
            <w:tcBorders>
              <w:top w:val="nil"/>
              <w:left w:val="nil"/>
              <w:bottom w:val="single" w:color="auto" w:sz="8" w:space="0"/>
              <w:right w:val="single" w:color="auto" w:sz="8" w:space="0"/>
            </w:tcBorders>
            <w:shd w:val="clear" w:color="000000" w:fill="FFFFFF"/>
            <w:vAlign w:val="top"/>
          </w:tcPr>
          <w:p>
            <w:pPr>
              <w:rPr>
                <w:color w:val="000000"/>
              </w:rPr>
            </w:pPr>
            <w:r>
              <w:rPr>
                <w:rFonts w:hint="eastAsia" w:ascii="宋体" w:cs="宋体"/>
                <w:color w:val="000000"/>
                <w:kern w:val="0"/>
              </w:rPr>
              <w:t>国家标准</w:t>
            </w:r>
            <w:r>
              <w:rPr>
                <w:rFonts w:ascii="宋体" w:cs="宋体"/>
                <w:color w:val="000000"/>
                <w:kern w:val="0"/>
              </w:rPr>
              <w:t>/</w:t>
            </w: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jc w:val="center"/>
              <w:rPr>
                <w:color w:val="000000"/>
              </w:rPr>
            </w:pPr>
          </w:p>
        </w:tc>
        <w:tc>
          <w:tcPr>
            <w:tcW w:w="728" w:type="dxa"/>
            <w:tcBorders>
              <w:top w:val="nil"/>
              <w:left w:val="nil"/>
              <w:bottom w:val="single" w:color="auto" w:sz="8" w:space="0"/>
              <w:right w:val="single" w:color="auto" w:sz="8" w:space="0"/>
            </w:tcBorders>
            <w:shd w:val="clear" w:color="000000" w:fill="FFFFFF"/>
            <w:vAlign w:val="center"/>
          </w:tcPr>
          <w:p>
            <w:pPr>
              <w:jc w:val="both"/>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nil"/>
              <w:left w:val="single" w:color="auto" w:sz="8" w:space="0"/>
              <w:bottom w:val="single" w:color="auto" w:sz="8" w:space="0"/>
              <w:right w:val="single" w:color="auto" w:sz="8" w:space="0"/>
            </w:tcBorders>
            <w:shd w:val="clear" w:color="auto" w:fill="FFD966"/>
            <w:vAlign w:val="center"/>
          </w:tcPr>
          <w:p>
            <w:pPr>
              <w:rPr>
                <w:rFonts w:ascii="宋体"/>
                <w:color w:val="000000"/>
                <w:kern w:val="0"/>
              </w:rPr>
            </w:pPr>
            <w:r>
              <w:rPr>
                <w:rFonts w:ascii="宋体" w:hAnsi="宋体" w:cs="宋体"/>
                <w:b/>
                <w:bCs/>
                <w:color w:val="000000"/>
                <w:kern w:val="0"/>
              </w:rPr>
              <w:t>BBE</w:t>
            </w:r>
            <w:r>
              <w:rPr>
                <w:rFonts w:hint="eastAsia" w:ascii="宋体" w:hAnsi="宋体" w:cs="宋体"/>
                <w:b/>
                <w:bCs/>
                <w:color w:val="000000"/>
                <w:kern w:val="0"/>
              </w:rPr>
              <w:t>车载通信系统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4"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42</w:t>
            </w:r>
          </w:p>
        </w:tc>
        <w:tc>
          <w:tcPr>
            <w:tcW w:w="510" w:type="dxa"/>
            <w:tcBorders>
              <w:top w:val="nil"/>
              <w:left w:val="nil"/>
              <w:bottom w:val="single" w:color="auto" w:sz="4"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w:t>
            </w:r>
          </w:p>
        </w:tc>
        <w:tc>
          <w:tcPr>
            <w:tcW w:w="3354" w:type="dxa"/>
            <w:tcBorders>
              <w:top w:val="nil"/>
              <w:left w:val="nil"/>
              <w:bottom w:val="single" w:color="auto" w:sz="4" w:space="0"/>
              <w:right w:val="single" w:color="auto" w:sz="8" w:space="0"/>
            </w:tcBorders>
            <w:shd w:val="clear" w:color="auto" w:fill="auto"/>
            <w:vAlign w:val="center"/>
          </w:tcPr>
          <w:p>
            <w:pPr>
              <w:rPr>
                <w:rFonts w:ascii="宋体"/>
                <w:color w:val="000000"/>
                <w:kern w:val="0"/>
              </w:rPr>
            </w:pPr>
            <w:r>
              <w:rPr>
                <w:rFonts w:hint="eastAsia" w:ascii="宋体" w:hAnsi="宋体" w:cs="宋体"/>
              </w:rPr>
              <w:t>基于公众电信网的汽车网关技术要求</w:t>
            </w:r>
          </w:p>
        </w:tc>
        <w:tc>
          <w:tcPr>
            <w:tcW w:w="1204" w:type="dxa"/>
            <w:tcBorders>
              <w:top w:val="nil"/>
              <w:left w:val="nil"/>
              <w:bottom w:val="single" w:color="auto" w:sz="4"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国家标准、行业标准</w:t>
            </w:r>
          </w:p>
        </w:tc>
        <w:tc>
          <w:tcPr>
            <w:tcW w:w="1007" w:type="dxa"/>
            <w:tcBorders>
              <w:top w:val="nil"/>
              <w:left w:val="nil"/>
              <w:bottom w:val="single" w:color="auto" w:sz="4"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4"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已联交通</w:t>
            </w:r>
          </w:p>
        </w:tc>
        <w:tc>
          <w:tcPr>
            <w:tcW w:w="728" w:type="dxa"/>
            <w:tcBorders>
              <w:top w:val="nil"/>
              <w:left w:val="nil"/>
              <w:bottom w:val="single" w:color="auto" w:sz="4"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single" w:color="auto" w:sz="4" w:space="0"/>
              <w:left w:val="single" w:color="auto" w:sz="4"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43</w:t>
            </w:r>
          </w:p>
        </w:tc>
        <w:tc>
          <w:tcPr>
            <w:tcW w:w="510" w:type="dxa"/>
            <w:tcBorders>
              <w:top w:val="single" w:color="auto" w:sz="4" w:space="0"/>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2</w:t>
            </w:r>
          </w:p>
        </w:tc>
        <w:tc>
          <w:tcPr>
            <w:tcW w:w="3354" w:type="dxa"/>
            <w:tcBorders>
              <w:top w:val="single" w:color="auto" w:sz="4" w:space="0"/>
              <w:left w:val="nil"/>
              <w:bottom w:val="single" w:color="auto" w:sz="8" w:space="0"/>
              <w:right w:val="single" w:color="auto" w:sz="8" w:space="0"/>
            </w:tcBorders>
            <w:shd w:val="clear" w:color="auto" w:fill="auto"/>
            <w:vAlign w:val="center"/>
          </w:tcPr>
          <w:p>
            <w:pPr>
              <w:rPr>
                <w:rFonts w:ascii="宋体"/>
                <w:color w:val="000000"/>
                <w:kern w:val="0"/>
              </w:rPr>
            </w:pPr>
            <w:r>
              <w:rPr>
                <w:rFonts w:hint="eastAsia" w:ascii="宋体" w:hAnsi="宋体" w:cs="宋体"/>
              </w:rPr>
              <w:t>基于公众电信网的汽车网关测试方法</w:t>
            </w:r>
          </w:p>
        </w:tc>
        <w:tc>
          <w:tcPr>
            <w:tcW w:w="1204" w:type="dxa"/>
            <w:tcBorders>
              <w:top w:val="single" w:color="auto" w:sz="4"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国家标准、行业标准</w:t>
            </w:r>
          </w:p>
        </w:tc>
        <w:tc>
          <w:tcPr>
            <w:tcW w:w="1007" w:type="dxa"/>
            <w:tcBorders>
              <w:top w:val="single" w:color="auto" w:sz="4"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single" w:color="auto" w:sz="4"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已联交通</w:t>
            </w:r>
          </w:p>
        </w:tc>
        <w:tc>
          <w:tcPr>
            <w:tcW w:w="728" w:type="dxa"/>
            <w:tcBorders>
              <w:top w:val="single" w:color="auto" w:sz="4"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4"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44</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3</w:t>
            </w:r>
          </w:p>
        </w:tc>
        <w:tc>
          <w:tcPr>
            <w:tcW w:w="3354" w:type="dxa"/>
            <w:tcBorders>
              <w:top w:val="nil"/>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rPr>
              <w:t>车载窄带语音通信设备传输性能要求和测试方法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4"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45</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4</w:t>
            </w:r>
          </w:p>
        </w:tc>
        <w:tc>
          <w:tcPr>
            <w:tcW w:w="3354" w:type="dxa"/>
            <w:tcBorders>
              <w:top w:val="nil"/>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rPr>
              <w:t>车载窄带语音通信设备音频性能要求和测试方法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4"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hAnsi="宋体" w:cs="宋体"/>
                <w:color w:val="000000"/>
                <w:kern w:val="0"/>
              </w:rPr>
              <w:t>46</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5</w:t>
            </w:r>
          </w:p>
        </w:tc>
        <w:tc>
          <w:tcPr>
            <w:tcW w:w="3354" w:type="dxa"/>
            <w:tcBorders>
              <w:top w:val="nil"/>
              <w:left w:val="nil"/>
              <w:bottom w:val="single" w:color="auto" w:sz="8" w:space="0"/>
              <w:right w:val="single" w:color="auto" w:sz="8" w:space="0"/>
            </w:tcBorders>
            <w:shd w:val="clear" w:color="auto" w:fill="auto"/>
            <w:vAlign w:val="center"/>
          </w:tcPr>
          <w:p>
            <w:pPr>
              <w:rPr>
                <w:rFonts w:ascii="宋体"/>
              </w:rPr>
            </w:pPr>
            <w:r>
              <w:rPr>
                <w:rFonts w:hint="eastAsia" w:cs="宋体"/>
              </w:rPr>
              <w:t>车载通信</w:t>
            </w:r>
            <w:r>
              <w:rPr>
                <w:rFonts w:hint="eastAsia" w:ascii="宋体" w:hAnsi="宋体" w:cs="宋体"/>
              </w:rPr>
              <w:t>终端技术要求和测试方法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立项中</w:t>
            </w: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电子</w:t>
            </w: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4"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47</w:t>
            </w:r>
          </w:p>
        </w:tc>
        <w:tc>
          <w:tcPr>
            <w:tcW w:w="510" w:type="dxa"/>
            <w:tcBorders>
              <w:top w:val="nil"/>
              <w:left w:val="nil"/>
              <w:bottom w:val="single" w:color="auto" w:sz="8" w:space="0"/>
              <w:right w:val="single" w:color="auto" w:sz="8" w:space="0"/>
            </w:tcBorders>
            <w:shd w:val="clear" w:color="000000" w:fill="FFFFFF"/>
            <w:vAlign w:val="center"/>
          </w:tcPr>
          <w:p>
            <w:pPr>
              <w:rPr>
                <w:rFonts w:ascii="宋体"/>
              </w:rPr>
            </w:pPr>
            <w:r>
              <w:rPr>
                <w:rFonts w:ascii="宋体" w:hAnsi="宋体" w:cs="宋体"/>
              </w:rPr>
              <w:t>6</w:t>
            </w:r>
          </w:p>
        </w:tc>
        <w:tc>
          <w:tcPr>
            <w:tcW w:w="3354" w:type="dxa"/>
            <w:tcBorders>
              <w:top w:val="nil"/>
              <w:left w:val="nil"/>
              <w:bottom w:val="single" w:color="auto" w:sz="8" w:space="0"/>
              <w:right w:val="single" w:color="auto" w:sz="8" w:space="0"/>
            </w:tcBorders>
            <w:shd w:val="clear" w:color="auto" w:fill="auto"/>
            <w:vAlign w:val="center"/>
          </w:tcPr>
          <w:p>
            <w:pPr>
              <w:rPr>
                <w:color w:val="000000"/>
                <w:shd w:val="clear" w:color="auto" w:fill="FFFFFF"/>
              </w:rPr>
            </w:pPr>
            <w:r>
              <w:rPr>
                <w:rFonts w:hint="eastAsia" w:ascii="宋体" w:hAnsi="宋体" w:cs="宋体"/>
                <w:color w:val="000000"/>
                <w:kern w:val="0"/>
              </w:rPr>
              <w:t>车载终端与手持终端互联技术规范</w:t>
            </w:r>
          </w:p>
        </w:tc>
        <w:tc>
          <w:tcPr>
            <w:tcW w:w="1204" w:type="dxa"/>
            <w:tcBorders>
              <w:top w:val="nil"/>
              <w:left w:val="nil"/>
              <w:bottom w:val="single" w:color="auto" w:sz="8" w:space="0"/>
              <w:right w:val="single" w:color="auto" w:sz="8" w:space="0"/>
            </w:tcBorders>
            <w:shd w:val="clear" w:color="000000" w:fill="FFFFFF"/>
            <w:vAlign w:val="center"/>
          </w:tcPr>
          <w:p>
            <w:pPr>
              <w:rPr>
                <w:rFonts w:ascii="宋体"/>
              </w:rPr>
            </w:pPr>
            <w:r>
              <w:rPr>
                <w:rFonts w:hint="eastAsia" w:ascii="宋体" w:cs="宋体"/>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电子</w:t>
            </w: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nil"/>
              <w:left w:val="single" w:color="auto" w:sz="8" w:space="0"/>
              <w:bottom w:val="single" w:color="auto" w:sz="8" w:space="0"/>
              <w:right w:val="single" w:color="auto" w:sz="8" w:space="0"/>
            </w:tcBorders>
            <w:shd w:val="clear" w:color="auto" w:fill="92D050"/>
            <w:vAlign w:val="center"/>
          </w:tcPr>
          <w:p>
            <w:pPr>
              <w:rPr>
                <w:rFonts w:ascii="宋体"/>
                <w:b/>
                <w:bCs/>
                <w:color w:val="000000"/>
                <w:kern w:val="0"/>
              </w:rPr>
            </w:pPr>
            <w:r>
              <w:rPr>
                <w:rFonts w:ascii="宋体" w:hAnsi="宋体" w:cs="宋体"/>
                <w:b/>
                <w:bCs/>
                <w:color w:val="000000"/>
                <w:kern w:val="0"/>
              </w:rPr>
              <w:t>BC</w:t>
            </w:r>
            <w:r>
              <w:rPr>
                <w:rFonts w:hint="eastAsia" w:ascii="宋体" w:hAnsi="宋体" w:cs="宋体"/>
                <w:b/>
                <w:bCs/>
                <w:color w:val="000000"/>
                <w:kern w:val="0"/>
              </w:rPr>
              <w:t>业务与应用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nil"/>
              <w:left w:val="single" w:color="auto" w:sz="8" w:space="0"/>
              <w:bottom w:val="single" w:color="auto" w:sz="8" w:space="0"/>
              <w:right w:val="single" w:color="auto" w:sz="8" w:space="0"/>
            </w:tcBorders>
            <w:shd w:val="clear" w:color="auto" w:fill="FFD966"/>
            <w:vAlign w:val="center"/>
          </w:tcPr>
          <w:p>
            <w:pPr>
              <w:rPr>
                <w:rFonts w:ascii="宋体"/>
                <w:b/>
                <w:bCs/>
                <w:color w:val="000000"/>
                <w:kern w:val="0"/>
              </w:rPr>
            </w:pPr>
            <w:r>
              <w:rPr>
                <w:rFonts w:ascii="宋体" w:hAnsi="宋体" w:cs="宋体"/>
                <w:b/>
                <w:bCs/>
                <w:color w:val="000000"/>
                <w:kern w:val="0"/>
              </w:rPr>
              <w:t>BCA</w:t>
            </w:r>
            <w:r>
              <w:rPr>
                <w:rFonts w:hint="eastAsia" w:ascii="宋体" w:hAnsi="宋体" w:cs="宋体"/>
                <w:b/>
                <w:bCs/>
                <w:color w:val="000000"/>
                <w:kern w:val="0"/>
              </w:rPr>
              <w:t>效率出行类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48</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w:t>
            </w:r>
          </w:p>
        </w:tc>
        <w:tc>
          <w:tcPr>
            <w:tcW w:w="3354" w:type="dxa"/>
            <w:tcBorders>
              <w:top w:val="nil"/>
              <w:left w:val="nil"/>
              <w:bottom w:val="single" w:color="auto" w:sz="8" w:space="0"/>
              <w:right w:val="single" w:color="auto" w:sz="8" w:space="0"/>
            </w:tcBorders>
            <w:shd w:val="clear" w:color="auto" w:fill="auto"/>
            <w:vAlign w:val="center"/>
          </w:tcPr>
          <w:p>
            <w:pPr>
              <w:rPr>
                <w:rFonts w:ascii="宋体"/>
                <w:color w:val="000000"/>
                <w:kern w:val="0"/>
              </w:rPr>
            </w:pPr>
            <w:r>
              <w:rPr>
                <w:rFonts w:hint="eastAsia" w:ascii="宋体" w:hAnsi="宋体" w:cs="宋体"/>
              </w:rPr>
              <w:t>合作式智能运输系统中道路信息结构化和交互数据集</w:t>
            </w:r>
          </w:p>
        </w:tc>
        <w:tc>
          <w:tcPr>
            <w:tcW w:w="1204"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49</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2</w:t>
            </w:r>
          </w:p>
        </w:tc>
        <w:tc>
          <w:tcPr>
            <w:tcW w:w="3354" w:type="dxa"/>
            <w:tcBorders>
              <w:top w:val="nil"/>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rPr>
              <w:t>电动汽车分时共享服务要求</w:t>
            </w:r>
          </w:p>
        </w:tc>
        <w:tc>
          <w:tcPr>
            <w:tcW w:w="1204"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nil"/>
              <w:left w:val="single" w:color="auto" w:sz="8" w:space="0"/>
              <w:bottom w:val="single" w:color="auto" w:sz="8" w:space="0"/>
              <w:right w:val="single" w:color="auto" w:sz="8" w:space="0"/>
            </w:tcBorders>
            <w:shd w:val="clear" w:color="auto" w:fill="FFD966"/>
            <w:vAlign w:val="center"/>
          </w:tcPr>
          <w:p>
            <w:pPr>
              <w:rPr>
                <w:rFonts w:ascii="宋体"/>
                <w:color w:val="000000"/>
                <w:kern w:val="0"/>
              </w:rPr>
            </w:pPr>
            <w:r>
              <w:rPr>
                <w:rFonts w:ascii="宋体" w:hAnsi="宋体" w:cs="宋体"/>
                <w:b/>
                <w:bCs/>
                <w:color w:val="000000"/>
                <w:kern w:val="0"/>
              </w:rPr>
              <w:t>BCB</w:t>
            </w:r>
            <w:r>
              <w:rPr>
                <w:rFonts w:hint="eastAsia" w:ascii="宋体" w:hAnsi="宋体" w:cs="宋体"/>
                <w:b/>
                <w:bCs/>
                <w:color w:val="000000"/>
                <w:kern w:val="0"/>
              </w:rPr>
              <w:t>主动安全类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50</w:t>
            </w:r>
          </w:p>
        </w:tc>
        <w:tc>
          <w:tcPr>
            <w:tcW w:w="510" w:type="dxa"/>
            <w:tcBorders>
              <w:top w:val="nil"/>
              <w:left w:val="nil"/>
              <w:bottom w:val="single" w:color="auto" w:sz="8" w:space="0"/>
              <w:right w:val="single" w:color="auto" w:sz="8" w:space="0"/>
            </w:tcBorders>
            <w:shd w:val="clear" w:color="000000" w:fill="FFFFFF"/>
            <w:vAlign w:val="center"/>
          </w:tcPr>
          <w:p>
            <w:pPr>
              <w:rPr>
                <w:rFonts w:ascii="宋体" w:hAnsi="宋体" w:cs="宋体"/>
                <w:color w:val="000000"/>
                <w:kern w:val="0"/>
              </w:rPr>
            </w:pPr>
            <w:r>
              <w:rPr>
                <w:rFonts w:hint="eastAsia" w:ascii="宋体" w:hAnsi="宋体" w:cs="宋体"/>
                <w:color w:val="000000"/>
                <w:kern w:val="0"/>
              </w:rPr>
              <w:t>1</w:t>
            </w:r>
          </w:p>
        </w:tc>
        <w:tc>
          <w:tcPr>
            <w:tcW w:w="3354" w:type="dxa"/>
            <w:tcBorders>
              <w:top w:val="nil"/>
              <w:left w:val="nil"/>
              <w:bottom w:val="single" w:color="auto" w:sz="8" w:space="0"/>
              <w:right w:val="single" w:color="auto" w:sz="8" w:space="0"/>
            </w:tcBorders>
            <w:shd w:val="clear" w:color="auto" w:fill="auto"/>
            <w:vAlign w:val="center"/>
          </w:tcPr>
          <w:p>
            <w:pPr>
              <w:rPr>
                <w:rFonts w:ascii="宋体" w:hAnsi="宋体" w:cs="宋体"/>
              </w:rPr>
            </w:pPr>
            <w:r>
              <w:rPr>
                <w:rFonts w:hint="eastAsia" w:ascii="宋体" w:hAnsi="宋体" w:cs="宋体"/>
              </w:rPr>
              <w:t>基于网联式的主动安全技术要求</w:t>
            </w:r>
          </w:p>
        </w:tc>
        <w:tc>
          <w:tcPr>
            <w:tcW w:w="1204" w:type="dxa"/>
            <w:tcBorders>
              <w:top w:val="nil"/>
              <w:left w:val="nil"/>
              <w:bottom w:val="single" w:color="auto" w:sz="8" w:space="0"/>
              <w:right w:val="single" w:color="auto" w:sz="8" w:space="0"/>
            </w:tcBorders>
            <w:shd w:val="clear" w:color="000000" w:fill="FFFFFF"/>
            <w:vAlign w:val="center"/>
          </w:tcPr>
          <w:p>
            <w:pPr>
              <w:rPr>
                <w:rFonts w:ascii="宋体" w:hAnsi="宋体" w:cs="宋体"/>
                <w:color w:val="000000"/>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olor w:val="000000"/>
                <w:kern w:val="0"/>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51</w:t>
            </w:r>
          </w:p>
        </w:tc>
        <w:tc>
          <w:tcPr>
            <w:tcW w:w="510" w:type="dxa"/>
            <w:tcBorders>
              <w:top w:val="nil"/>
              <w:left w:val="nil"/>
              <w:bottom w:val="single" w:color="auto" w:sz="8" w:space="0"/>
              <w:right w:val="single" w:color="auto" w:sz="8" w:space="0"/>
            </w:tcBorders>
            <w:shd w:val="clear" w:color="000000" w:fill="FFFFFF"/>
            <w:vAlign w:val="center"/>
          </w:tcPr>
          <w:p>
            <w:pPr>
              <w:rPr>
                <w:rFonts w:ascii="宋体" w:hAnsi="宋体" w:cs="宋体"/>
                <w:color w:val="000000"/>
                <w:kern w:val="0"/>
              </w:rPr>
            </w:pPr>
            <w:r>
              <w:rPr>
                <w:rFonts w:hint="eastAsia" w:ascii="宋体" w:hAnsi="宋体" w:cs="宋体"/>
                <w:color w:val="000000"/>
                <w:kern w:val="0"/>
              </w:rPr>
              <w:t>2</w:t>
            </w:r>
          </w:p>
        </w:tc>
        <w:tc>
          <w:tcPr>
            <w:tcW w:w="3354" w:type="dxa"/>
            <w:tcBorders>
              <w:top w:val="nil"/>
              <w:left w:val="nil"/>
              <w:bottom w:val="single" w:color="auto" w:sz="8" w:space="0"/>
              <w:right w:val="single" w:color="auto" w:sz="8" w:space="0"/>
            </w:tcBorders>
            <w:shd w:val="clear" w:color="auto" w:fill="auto"/>
            <w:vAlign w:val="center"/>
          </w:tcPr>
          <w:p>
            <w:pPr>
              <w:rPr>
                <w:rFonts w:ascii="宋体" w:hAnsi="宋体" w:cs="宋体"/>
              </w:rPr>
            </w:pPr>
            <w:r>
              <w:rPr>
                <w:rFonts w:hint="eastAsia" w:ascii="宋体" w:hAnsi="宋体" w:cs="宋体"/>
              </w:rPr>
              <w:t>基于网联式的主动安全测试方法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hAnsi="宋体" w:cs="宋体"/>
                <w:color w:val="000000"/>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olor w:val="000000"/>
                <w:kern w:val="0"/>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52</w:t>
            </w:r>
          </w:p>
        </w:tc>
        <w:tc>
          <w:tcPr>
            <w:tcW w:w="510" w:type="dxa"/>
            <w:tcBorders>
              <w:top w:val="nil"/>
              <w:left w:val="nil"/>
              <w:bottom w:val="single" w:color="auto" w:sz="8" w:space="0"/>
              <w:right w:val="single" w:color="auto" w:sz="8" w:space="0"/>
            </w:tcBorders>
            <w:shd w:val="clear" w:color="000000" w:fill="FFFFFF"/>
            <w:vAlign w:val="center"/>
          </w:tcPr>
          <w:p>
            <w:pPr>
              <w:rPr>
                <w:rFonts w:ascii="宋体" w:hAnsi="宋体" w:cs="宋体"/>
                <w:color w:val="000000"/>
                <w:kern w:val="0"/>
              </w:rPr>
            </w:pPr>
            <w:r>
              <w:rPr>
                <w:rFonts w:hint="eastAsia" w:ascii="宋体" w:hAnsi="宋体" w:cs="宋体"/>
                <w:color w:val="000000"/>
                <w:kern w:val="0"/>
              </w:rPr>
              <w:t>3</w:t>
            </w:r>
          </w:p>
        </w:tc>
        <w:tc>
          <w:tcPr>
            <w:tcW w:w="3354" w:type="dxa"/>
            <w:tcBorders>
              <w:top w:val="nil"/>
              <w:left w:val="nil"/>
              <w:bottom w:val="single" w:color="auto" w:sz="8" w:space="0"/>
              <w:right w:val="single" w:color="auto" w:sz="8" w:space="0"/>
            </w:tcBorders>
            <w:shd w:val="clear" w:color="auto" w:fill="auto"/>
            <w:vAlign w:val="center"/>
          </w:tcPr>
          <w:p>
            <w:pPr>
              <w:rPr>
                <w:rFonts w:ascii="宋体" w:hAnsi="宋体" w:cs="宋体"/>
              </w:rPr>
            </w:pPr>
            <w:r>
              <w:rPr>
                <w:rFonts w:hint="eastAsia" w:ascii="宋体" w:hAnsi="宋体" w:cs="宋体"/>
              </w:rPr>
              <w:t>基于网联式的自动驾驶技术要求</w:t>
            </w:r>
          </w:p>
        </w:tc>
        <w:tc>
          <w:tcPr>
            <w:tcW w:w="1204" w:type="dxa"/>
            <w:tcBorders>
              <w:top w:val="nil"/>
              <w:left w:val="nil"/>
              <w:bottom w:val="single" w:color="auto" w:sz="8" w:space="0"/>
              <w:right w:val="single" w:color="auto" w:sz="8" w:space="0"/>
            </w:tcBorders>
            <w:shd w:val="clear" w:color="000000" w:fill="FFFFFF"/>
            <w:vAlign w:val="center"/>
          </w:tcPr>
          <w:p>
            <w:pPr>
              <w:rPr>
                <w:rFonts w:ascii="宋体" w:hAnsi="宋体" w:cs="宋体"/>
                <w:color w:val="000000"/>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53</w:t>
            </w:r>
          </w:p>
        </w:tc>
        <w:tc>
          <w:tcPr>
            <w:tcW w:w="510" w:type="dxa"/>
            <w:tcBorders>
              <w:top w:val="nil"/>
              <w:left w:val="nil"/>
              <w:bottom w:val="single" w:color="auto" w:sz="8" w:space="0"/>
              <w:right w:val="single" w:color="auto" w:sz="8" w:space="0"/>
            </w:tcBorders>
            <w:shd w:val="clear" w:color="000000" w:fill="FFFFFF"/>
            <w:vAlign w:val="center"/>
          </w:tcPr>
          <w:p>
            <w:pPr>
              <w:rPr>
                <w:rFonts w:ascii="宋体" w:hAnsi="宋体" w:cs="宋体"/>
                <w:color w:val="000000"/>
                <w:kern w:val="0"/>
              </w:rPr>
            </w:pPr>
            <w:r>
              <w:rPr>
                <w:rFonts w:hint="eastAsia" w:ascii="宋体" w:hAnsi="宋体" w:cs="宋体"/>
                <w:color w:val="000000"/>
                <w:kern w:val="0"/>
              </w:rPr>
              <w:t>4</w:t>
            </w:r>
          </w:p>
        </w:tc>
        <w:tc>
          <w:tcPr>
            <w:tcW w:w="3354" w:type="dxa"/>
            <w:tcBorders>
              <w:top w:val="nil"/>
              <w:left w:val="nil"/>
              <w:bottom w:val="single" w:color="auto" w:sz="8" w:space="0"/>
              <w:right w:val="single" w:color="auto" w:sz="8" w:space="0"/>
            </w:tcBorders>
            <w:shd w:val="clear" w:color="auto" w:fill="auto"/>
            <w:vAlign w:val="center"/>
          </w:tcPr>
          <w:p>
            <w:pPr>
              <w:rPr>
                <w:rFonts w:ascii="宋体" w:hAnsi="宋体" w:cs="宋体"/>
              </w:rPr>
            </w:pPr>
            <w:r>
              <w:rPr>
                <w:rFonts w:hint="eastAsia" w:ascii="宋体" w:hAnsi="宋体" w:cs="宋体"/>
              </w:rPr>
              <w:t>基于网联式的自动驾驶测试方法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hAnsi="宋体" w:cs="宋体"/>
                <w:color w:val="000000"/>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nil"/>
              <w:left w:val="single" w:color="auto" w:sz="8" w:space="0"/>
              <w:bottom w:val="single" w:color="auto" w:sz="8" w:space="0"/>
              <w:right w:val="single" w:color="auto" w:sz="8" w:space="0"/>
            </w:tcBorders>
            <w:shd w:val="clear" w:color="auto" w:fill="FFD966"/>
            <w:vAlign w:val="center"/>
          </w:tcPr>
          <w:p>
            <w:pPr>
              <w:rPr>
                <w:rFonts w:ascii="宋体"/>
                <w:color w:val="000000"/>
                <w:kern w:val="0"/>
              </w:rPr>
            </w:pPr>
            <w:r>
              <w:rPr>
                <w:rFonts w:ascii="宋体" w:hAnsi="宋体" w:cs="宋体"/>
                <w:b/>
                <w:bCs/>
                <w:color w:val="000000"/>
                <w:kern w:val="0"/>
              </w:rPr>
              <w:t>BCC</w:t>
            </w:r>
            <w:r>
              <w:rPr>
                <w:rFonts w:hint="eastAsia" w:ascii="宋体" w:hAnsi="宋体" w:cs="宋体"/>
                <w:b/>
                <w:bCs/>
                <w:color w:val="000000"/>
                <w:kern w:val="0"/>
              </w:rPr>
              <w:t>信息通信平台类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54</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w:t>
            </w:r>
          </w:p>
        </w:tc>
        <w:tc>
          <w:tcPr>
            <w:tcW w:w="3354" w:type="dxa"/>
            <w:tcBorders>
              <w:top w:val="nil"/>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rPr>
              <w:t>基于公用通信网络的汽车信息化业务支撑平台总体技术要求</w:t>
            </w:r>
          </w:p>
        </w:tc>
        <w:tc>
          <w:tcPr>
            <w:tcW w:w="1204"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55</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2</w:t>
            </w:r>
          </w:p>
        </w:tc>
        <w:tc>
          <w:tcPr>
            <w:tcW w:w="3354" w:type="dxa"/>
            <w:tcBorders>
              <w:top w:val="nil"/>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rPr>
              <w:t>基于公用通信网络的汽车信息化业务支撑平台与汽车厂商业务平台的接口技术要求</w:t>
            </w:r>
          </w:p>
        </w:tc>
        <w:tc>
          <w:tcPr>
            <w:tcW w:w="1204"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4"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56</w:t>
            </w:r>
          </w:p>
        </w:tc>
        <w:tc>
          <w:tcPr>
            <w:tcW w:w="510" w:type="dxa"/>
            <w:tcBorders>
              <w:top w:val="nil"/>
              <w:left w:val="nil"/>
              <w:bottom w:val="single" w:color="auto" w:sz="4"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3</w:t>
            </w:r>
          </w:p>
        </w:tc>
        <w:tc>
          <w:tcPr>
            <w:tcW w:w="3354" w:type="dxa"/>
            <w:tcBorders>
              <w:top w:val="nil"/>
              <w:left w:val="nil"/>
              <w:bottom w:val="single" w:color="auto" w:sz="4" w:space="0"/>
              <w:right w:val="single" w:color="auto" w:sz="8" w:space="0"/>
            </w:tcBorders>
            <w:shd w:val="clear" w:color="auto" w:fill="auto"/>
            <w:vAlign w:val="center"/>
          </w:tcPr>
          <w:p>
            <w:pPr>
              <w:rPr>
                <w:rFonts w:ascii="宋体"/>
              </w:rPr>
            </w:pPr>
            <w:r>
              <w:rPr>
                <w:rFonts w:hint="eastAsia" w:ascii="宋体" w:hAnsi="宋体" w:cs="宋体"/>
              </w:rPr>
              <w:t>基于公用通信网络的汽车信息化业务支撑平台与车载终端的接口技术要求</w:t>
            </w:r>
          </w:p>
        </w:tc>
        <w:tc>
          <w:tcPr>
            <w:tcW w:w="1204" w:type="dxa"/>
            <w:tcBorders>
              <w:top w:val="nil"/>
              <w:left w:val="nil"/>
              <w:bottom w:val="single" w:color="auto" w:sz="4"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nil"/>
              <w:left w:val="nil"/>
              <w:bottom w:val="single" w:color="auto" w:sz="4"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4"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4"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57</w:t>
            </w:r>
          </w:p>
        </w:tc>
        <w:tc>
          <w:tcPr>
            <w:tcW w:w="510" w:type="dxa"/>
            <w:tcBorders>
              <w:top w:val="nil"/>
              <w:left w:val="nil"/>
              <w:bottom w:val="single" w:color="auto" w:sz="8" w:space="0"/>
              <w:right w:val="single" w:color="auto" w:sz="8" w:space="0"/>
            </w:tcBorders>
            <w:shd w:val="clear" w:color="000000" w:fill="FFFFFF"/>
            <w:vAlign w:val="center"/>
          </w:tcPr>
          <w:p>
            <w:pPr>
              <w:rPr>
                <w:rFonts w:ascii="宋体"/>
              </w:rPr>
            </w:pPr>
            <w:r>
              <w:rPr>
                <w:rFonts w:ascii="宋体" w:hAnsi="宋体" w:cs="宋体"/>
              </w:rPr>
              <w:t>4</w:t>
            </w:r>
          </w:p>
        </w:tc>
        <w:tc>
          <w:tcPr>
            <w:tcW w:w="3354" w:type="dxa"/>
            <w:tcBorders>
              <w:top w:val="nil"/>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rPr>
              <w:t>面向车载信息服务的电信业务能力开放技术要求</w:t>
            </w:r>
          </w:p>
        </w:tc>
        <w:tc>
          <w:tcPr>
            <w:tcW w:w="1204" w:type="dxa"/>
            <w:tcBorders>
              <w:top w:val="nil"/>
              <w:left w:val="nil"/>
              <w:bottom w:val="single" w:color="auto" w:sz="8" w:space="0"/>
              <w:right w:val="single" w:color="auto" w:sz="8" w:space="0"/>
            </w:tcBorders>
            <w:shd w:val="clear" w:color="000000" w:fill="FFFFFF"/>
            <w:vAlign w:val="center"/>
          </w:tcPr>
          <w:p>
            <w:pPr>
              <w:rPr>
                <w:rFonts w:ascii="宋体"/>
              </w:rPr>
            </w:pPr>
            <w:r>
              <w:rPr>
                <w:rFonts w:hint="eastAsia" w:ascii="宋体" w:hAnsi="宋体" w:cs="宋体"/>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58</w:t>
            </w:r>
          </w:p>
        </w:tc>
        <w:tc>
          <w:tcPr>
            <w:tcW w:w="510" w:type="dxa"/>
            <w:tcBorders>
              <w:top w:val="nil"/>
              <w:left w:val="nil"/>
              <w:bottom w:val="single" w:color="auto" w:sz="8" w:space="0"/>
              <w:right w:val="single" w:color="auto" w:sz="8" w:space="0"/>
            </w:tcBorders>
            <w:shd w:val="clear" w:color="000000" w:fill="FFFFFF"/>
            <w:vAlign w:val="center"/>
          </w:tcPr>
          <w:p>
            <w:pPr>
              <w:rPr>
                <w:rFonts w:ascii="宋体"/>
              </w:rPr>
            </w:pPr>
            <w:r>
              <w:rPr>
                <w:rFonts w:ascii="宋体" w:hAnsi="宋体" w:cs="宋体"/>
              </w:rPr>
              <w:t>5</w:t>
            </w:r>
          </w:p>
        </w:tc>
        <w:tc>
          <w:tcPr>
            <w:tcW w:w="3354" w:type="dxa"/>
            <w:tcBorders>
              <w:top w:val="nil"/>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rPr>
              <w:t>车载服务平台接口技术要求及测试方法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rPr>
            </w:pPr>
            <w:r>
              <w:rPr>
                <w:rFonts w:hint="eastAsia" w:ascii="宋体" w:hAnsi="宋体" w:cs="宋体"/>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电子</w:t>
            </w: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59</w:t>
            </w:r>
          </w:p>
        </w:tc>
        <w:tc>
          <w:tcPr>
            <w:tcW w:w="510" w:type="dxa"/>
            <w:tcBorders>
              <w:top w:val="nil"/>
              <w:left w:val="nil"/>
              <w:bottom w:val="single" w:color="auto" w:sz="8" w:space="0"/>
              <w:right w:val="single" w:color="auto" w:sz="8" w:space="0"/>
            </w:tcBorders>
            <w:shd w:val="clear" w:color="000000" w:fill="FFFFFF"/>
            <w:vAlign w:val="center"/>
          </w:tcPr>
          <w:p>
            <w:pPr>
              <w:rPr>
                <w:rFonts w:ascii="宋体"/>
              </w:rPr>
            </w:pPr>
            <w:r>
              <w:rPr>
                <w:rFonts w:ascii="宋体" w:hAnsi="宋体" w:cs="宋体"/>
              </w:rPr>
              <w:t>6</w:t>
            </w:r>
          </w:p>
        </w:tc>
        <w:tc>
          <w:tcPr>
            <w:tcW w:w="3354" w:type="dxa"/>
            <w:tcBorders>
              <w:top w:val="nil"/>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rPr>
              <w:t>平台与车载终端信息交互（</w:t>
            </w:r>
            <w:r>
              <w:rPr>
                <w:rFonts w:ascii="宋体" w:hAnsi="宋体" w:cs="宋体"/>
              </w:rPr>
              <w:t>OTA</w:t>
            </w:r>
            <w:r>
              <w:rPr>
                <w:rFonts w:hint="eastAsia" w:ascii="宋体" w:hAnsi="宋体" w:cs="宋体"/>
              </w:rPr>
              <w:t>技术等）技术要求及测试方法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rPr>
            </w:pPr>
            <w:r>
              <w:rPr>
                <w:rFonts w:hint="eastAsia" w:ascii="宋体" w:hAnsi="宋体" w:cs="宋体"/>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nil"/>
              <w:left w:val="single" w:color="auto" w:sz="8" w:space="0"/>
              <w:bottom w:val="single" w:color="auto" w:sz="8" w:space="0"/>
              <w:right w:val="single" w:color="auto" w:sz="8" w:space="0"/>
            </w:tcBorders>
            <w:shd w:val="clear" w:color="auto" w:fill="FFD966"/>
            <w:vAlign w:val="center"/>
          </w:tcPr>
          <w:p>
            <w:pPr>
              <w:rPr>
                <w:rFonts w:ascii="宋体"/>
                <w:b/>
                <w:bCs/>
                <w:color w:val="000000"/>
                <w:kern w:val="0"/>
              </w:rPr>
            </w:pPr>
            <w:r>
              <w:rPr>
                <w:rFonts w:ascii="宋体" w:cs="宋体"/>
                <w:b/>
                <w:bCs/>
                <w:color w:val="000000"/>
                <w:kern w:val="0"/>
              </w:rPr>
              <w:t xml:space="preserve">BCD </w:t>
            </w:r>
            <w:r>
              <w:rPr>
                <w:rFonts w:hint="eastAsia" w:ascii="宋体" w:cs="宋体"/>
                <w:b/>
                <w:bCs/>
                <w:color w:val="000000"/>
                <w:kern w:val="0"/>
              </w:rPr>
              <w:t>车载紧急救援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60</w:t>
            </w:r>
          </w:p>
        </w:tc>
        <w:tc>
          <w:tcPr>
            <w:tcW w:w="510" w:type="dxa"/>
            <w:tcBorders>
              <w:top w:val="nil"/>
              <w:left w:val="nil"/>
              <w:bottom w:val="single" w:color="auto" w:sz="8" w:space="0"/>
              <w:right w:val="single" w:color="auto" w:sz="8" w:space="0"/>
            </w:tcBorders>
            <w:shd w:val="clear" w:color="000000" w:fill="FFFFFF"/>
            <w:vAlign w:val="center"/>
          </w:tcPr>
          <w:p>
            <w:pPr>
              <w:rPr>
                <w:rFonts w:ascii="宋体"/>
              </w:rPr>
            </w:pPr>
            <w:r>
              <w:rPr>
                <w:rFonts w:ascii="宋体" w:hAnsi="宋体" w:cs="宋体"/>
              </w:rPr>
              <w:t>1</w:t>
            </w:r>
          </w:p>
        </w:tc>
        <w:tc>
          <w:tcPr>
            <w:tcW w:w="3354" w:type="dxa"/>
            <w:tcBorders>
              <w:top w:val="nil"/>
              <w:left w:val="nil"/>
              <w:bottom w:val="single" w:color="auto" w:sz="8" w:space="0"/>
              <w:right w:val="single" w:color="auto" w:sz="8" w:space="0"/>
            </w:tcBorders>
            <w:shd w:val="clear" w:color="auto" w:fill="auto"/>
            <w:vAlign w:val="center"/>
          </w:tcPr>
          <w:p>
            <w:pPr>
              <w:rPr>
                <w:rFonts w:ascii="宋体"/>
                <w:kern w:val="0"/>
              </w:rPr>
            </w:pPr>
            <w:r>
              <w:rPr>
                <w:rFonts w:hint="eastAsia" w:ascii="宋体" w:hAnsi="宋体" w:cs="宋体"/>
              </w:rPr>
              <w:t>基于公众电信网的车载紧急报警系统</w:t>
            </w:r>
            <w:r>
              <w:t xml:space="preserve">  </w:t>
            </w:r>
            <w:r>
              <w:rPr>
                <w:rFonts w:hint="eastAsia" w:ascii="宋体" w:hAnsi="宋体" w:cs="宋体"/>
              </w:rPr>
              <w:t>总体技术要求和测试方法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rPr>
            </w:pPr>
            <w:r>
              <w:rPr>
                <w:rFonts w:hint="eastAsia" w:ascii="宋体" w:hAnsi="宋体" w:cs="宋体"/>
                <w:color w:val="000000"/>
                <w:kern w:val="0"/>
              </w:rPr>
              <w:t>国家标准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olor w:val="000000"/>
                <w:kern w:val="0"/>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61</w:t>
            </w:r>
          </w:p>
        </w:tc>
        <w:tc>
          <w:tcPr>
            <w:tcW w:w="510" w:type="dxa"/>
            <w:tcBorders>
              <w:top w:val="nil"/>
              <w:left w:val="nil"/>
              <w:bottom w:val="single" w:color="auto" w:sz="8" w:space="0"/>
              <w:right w:val="single" w:color="auto" w:sz="8" w:space="0"/>
            </w:tcBorders>
            <w:shd w:val="clear" w:color="000000" w:fill="FFFFFF"/>
            <w:vAlign w:val="center"/>
          </w:tcPr>
          <w:p>
            <w:pPr>
              <w:rPr>
                <w:rFonts w:ascii="宋体"/>
              </w:rPr>
            </w:pPr>
            <w:r>
              <w:rPr>
                <w:rFonts w:ascii="宋体" w:hAnsi="宋体" w:cs="宋体"/>
              </w:rPr>
              <w:t>2</w:t>
            </w:r>
          </w:p>
        </w:tc>
        <w:tc>
          <w:tcPr>
            <w:tcW w:w="3354" w:type="dxa"/>
            <w:tcBorders>
              <w:top w:val="nil"/>
              <w:left w:val="nil"/>
              <w:bottom w:val="single" w:color="auto" w:sz="8" w:space="0"/>
              <w:right w:val="single" w:color="auto" w:sz="8" w:space="0"/>
            </w:tcBorders>
            <w:shd w:val="clear" w:color="auto" w:fill="auto"/>
            <w:vAlign w:val="bottom"/>
          </w:tcPr>
          <w:p>
            <w:pPr>
              <w:rPr>
                <w:rFonts w:ascii="宋体"/>
                <w:kern w:val="0"/>
              </w:rPr>
            </w:pPr>
            <w:r>
              <w:rPr>
                <w:rFonts w:hint="eastAsia" w:ascii="宋体" w:hAnsi="宋体" w:cs="宋体"/>
              </w:rPr>
              <w:t>基于公众电信网的车载紧急报警系统</w:t>
            </w:r>
            <w:r>
              <w:t xml:space="preserve">  </w:t>
            </w:r>
            <w:r>
              <w:rPr>
                <w:rFonts w:hint="eastAsia" w:ascii="宋体" w:hAnsi="宋体" w:cs="宋体"/>
              </w:rPr>
              <w:t>平台技术要求和测试方法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rPr>
            </w:pPr>
            <w:r>
              <w:rPr>
                <w:rFonts w:hint="eastAsia" w:ascii="宋体" w:hAnsi="宋体" w:cs="宋体"/>
                <w:color w:val="000000"/>
                <w:kern w:val="0"/>
              </w:rPr>
              <w:t>国家标准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olor w:val="000000"/>
                <w:kern w:val="0"/>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62</w:t>
            </w:r>
          </w:p>
        </w:tc>
        <w:tc>
          <w:tcPr>
            <w:tcW w:w="510" w:type="dxa"/>
            <w:tcBorders>
              <w:top w:val="nil"/>
              <w:left w:val="nil"/>
              <w:bottom w:val="single" w:color="auto" w:sz="8" w:space="0"/>
              <w:right w:val="single" w:color="auto" w:sz="8" w:space="0"/>
            </w:tcBorders>
            <w:shd w:val="clear" w:color="000000" w:fill="FFFFFF"/>
            <w:vAlign w:val="center"/>
          </w:tcPr>
          <w:p>
            <w:pPr>
              <w:rPr>
                <w:rFonts w:ascii="宋体"/>
              </w:rPr>
            </w:pPr>
            <w:r>
              <w:rPr>
                <w:rFonts w:ascii="宋体" w:hAnsi="宋体" w:cs="宋体"/>
              </w:rPr>
              <w:t>3</w:t>
            </w:r>
          </w:p>
        </w:tc>
        <w:tc>
          <w:tcPr>
            <w:tcW w:w="3354" w:type="dxa"/>
            <w:tcBorders>
              <w:top w:val="nil"/>
              <w:left w:val="nil"/>
              <w:bottom w:val="single" w:color="auto" w:sz="8" w:space="0"/>
              <w:right w:val="single" w:color="auto" w:sz="8" w:space="0"/>
            </w:tcBorders>
            <w:shd w:val="clear" w:color="auto" w:fill="auto"/>
            <w:vAlign w:val="bottom"/>
          </w:tcPr>
          <w:p>
            <w:pPr>
              <w:rPr>
                <w:rFonts w:ascii="宋体"/>
                <w:kern w:val="0"/>
              </w:rPr>
            </w:pPr>
            <w:r>
              <w:rPr>
                <w:rFonts w:hint="eastAsia" w:ascii="宋体" w:hAnsi="宋体" w:cs="宋体"/>
              </w:rPr>
              <w:t>基于公众电信网的车载紧急报警系统</w:t>
            </w:r>
            <w:r>
              <w:t xml:space="preserve">  </w:t>
            </w:r>
            <w:r>
              <w:rPr>
                <w:rFonts w:hint="eastAsia" w:ascii="宋体" w:hAnsi="宋体" w:cs="宋体"/>
              </w:rPr>
              <w:t>通信网络技术要求和测试方法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rPr>
            </w:pPr>
            <w:r>
              <w:rPr>
                <w:rFonts w:hint="eastAsia" w:ascii="宋体" w:hAnsi="宋体" w:cs="宋体"/>
                <w:color w:val="000000"/>
                <w:kern w:val="0"/>
              </w:rPr>
              <w:t>国家标准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olor w:val="000000"/>
                <w:kern w:val="0"/>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63</w:t>
            </w:r>
          </w:p>
        </w:tc>
        <w:tc>
          <w:tcPr>
            <w:tcW w:w="510" w:type="dxa"/>
            <w:tcBorders>
              <w:top w:val="nil"/>
              <w:left w:val="nil"/>
              <w:bottom w:val="single" w:color="auto" w:sz="8" w:space="0"/>
              <w:right w:val="single" w:color="auto" w:sz="8" w:space="0"/>
            </w:tcBorders>
            <w:shd w:val="clear" w:color="000000" w:fill="FFFFFF"/>
            <w:vAlign w:val="center"/>
          </w:tcPr>
          <w:p>
            <w:pPr>
              <w:rPr>
                <w:rFonts w:ascii="宋体"/>
              </w:rPr>
            </w:pPr>
            <w:r>
              <w:rPr>
                <w:rFonts w:ascii="宋体" w:hAnsi="宋体" w:cs="宋体"/>
              </w:rPr>
              <w:t>4</w:t>
            </w:r>
          </w:p>
        </w:tc>
        <w:tc>
          <w:tcPr>
            <w:tcW w:w="3354" w:type="dxa"/>
            <w:tcBorders>
              <w:top w:val="nil"/>
              <w:left w:val="nil"/>
              <w:bottom w:val="single" w:color="auto" w:sz="8" w:space="0"/>
              <w:right w:val="single" w:color="auto" w:sz="8" w:space="0"/>
            </w:tcBorders>
            <w:shd w:val="clear" w:color="auto" w:fill="auto"/>
            <w:vAlign w:val="bottom"/>
          </w:tcPr>
          <w:p>
            <w:pPr>
              <w:rPr>
                <w:rFonts w:ascii="宋体"/>
                <w:kern w:val="0"/>
              </w:rPr>
            </w:pPr>
            <w:r>
              <w:rPr>
                <w:rFonts w:hint="eastAsia" w:ascii="宋体" w:hAnsi="宋体" w:cs="宋体"/>
              </w:rPr>
              <w:t>基于公众电信网的车载紧急报警系统</w:t>
            </w:r>
            <w:r>
              <w:t xml:space="preserve">  </w:t>
            </w:r>
            <w:r>
              <w:rPr>
                <w:rFonts w:hint="eastAsia" w:ascii="宋体" w:hAnsi="宋体" w:cs="宋体"/>
              </w:rPr>
              <w:t>终端技术要求和测试方法</w:t>
            </w:r>
          </w:p>
        </w:tc>
        <w:tc>
          <w:tcPr>
            <w:tcW w:w="1204" w:type="dxa"/>
            <w:tcBorders>
              <w:top w:val="nil"/>
              <w:left w:val="nil"/>
              <w:bottom w:val="single" w:color="auto" w:sz="8" w:space="0"/>
              <w:right w:val="single" w:color="auto" w:sz="8" w:space="0"/>
            </w:tcBorders>
            <w:shd w:val="clear" w:color="000000" w:fill="FFFFFF"/>
            <w:vAlign w:val="center"/>
          </w:tcPr>
          <w:p>
            <w:pPr>
              <w:rPr>
                <w:rFonts w:ascii="宋体"/>
              </w:rPr>
            </w:pPr>
            <w:r>
              <w:rPr>
                <w:rFonts w:hint="eastAsia" w:ascii="宋体" w:hAnsi="宋体" w:cs="宋体"/>
                <w:color w:val="000000"/>
                <w:kern w:val="0"/>
              </w:rPr>
              <w:t>国家标准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olor w:val="000000"/>
                <w:kern w:val="0"/>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single" w:color="auto" w:sz="8" w:space="0"/>
              <w:left w:val="single" w:color="auto" w:sz="8" w:space="0"/>
              <w:bottom w:val="single" w:color="auto" w:sz="8" w:space="0"/>
              <w:right w:val="single" w:color="auto" w:sz="8" w:space="0"/>
            </w:tcBorders>
            <w:shd w:val="clear" w:color="auto" w:fill="FFD966"/>
            <w:vAlign w:val="center"/>
          </w:tcPr>
          <w:p>
            <w:pPr>
              <w:rPr>
                <w:rFonts w:ascii="宋体"/>
                <w:color w:val="000000"/>
                <w:kern w:val="0"/>
              </w:rPr>
            </w:pPr>
            <w:r>
              <w:rPr>
                <w:rFonts w:ascii="宋体" w:hAnsi="宋体" w:cs="宋体"/>
                <w:b/>
                <w:bCs/>
                <w:color w:val="000000"/>
                <w:kern w:val="0"/>
              </w:rPr>
              <w:t xml:space="preserve">BCE </w:t>
            </w:r>
            <w:r>
              <w:rPr>
                <w:rFonts w:hint="eastAsia" w:ascii="宋体" w:hAnsi="宋体" w:cs="宋体"/>
                <w:b/>
                <w:bCs/>
                <w:color w:val="000000"/>
                <w:kern w:val="0"/>
              </w:rPr>
              <w:t>信息共享和使用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64</w:t>
            </w:r>
          </w:p>
        </w:tc>
        <w:tc>
          <w:tcPr>
            <w:tcW w:w="510" w:type="dxa"/>
            <w:tcBorders>
              <w:top w:val="single" w:color="auto" w:sz="8" w:space="0"/>
              <w:left w:val="nil"/>
              <w:bottom w:val="single" w:color="auto" w:sz="8" w:space="0"/>
              <w:right w:val="single" w:color="auto" w:sz="8" w:space="0"/>
            </w:tcBorders>
            <w:shd w:val="clear" w:color="000000" w:fill="FFFFFF"/>
            <w:vAlign w:val="center"/>
          </w:tcPr>
          <w:p>
            <w:pPr>
              <w:rPr>
                <w:rFonts w:ascii="宋体"/>
              </w:rPr>
            </w:pPr>
            <w:r>
              <w:rPr>
                <w:rFonts w:ascii="宋体" w:hAnsi="宋体" w:cs="宋体"/>
              </w:rPr>
              <w:t>1</w:t>
            </w:r>
          </w:p>
        </w:tc>
        <w:tc>
          <w:tcPr>
            <w:tcW w:w="3354" w:type="dxa"/>
            <w:tcBorders>
              <w:top w:val="single" w:color="auto" w:sz="8" w:space="0"/>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color w:val="000000"/>
              </w:rPr>
              <w:t>移动互联汽车数据共享与开放技术要求</w:t>
            </w:r>
          </w:p>
        </w:tc>
        <w:tc>
          <w:tcPr>
            <w:tcW w:w="1204"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65</w:t>
            </w:r>
          </w:p>
        </w:tc>
        <w:tc>
          <w:tcPr>
            <w:tcW w:w="510" w:type="dxa"/>
            <w:tcBorders>
              <w:top w:val="single" w:color="auto" w:sz="8" w:space="0"/>
              <w:left w:val="nil"/>
              <w:bottom w:val="single" w:color="auto" w:sz="8" w:space="0"/>
              <w:right w:val="single" w:color="auto" w:sz="8" w:space="0"/>
            </w:tcBorders>
            <w:shd w:val="clear" w:color="000000" w:fill="FFFFFF"/>
            <w:vAlign w:val="center"/>
          </w:tcPr>
          <w:p>
            <w:pPr>
              <w:rPr>
                <w:rFonts w:ascii="宋体"/>
              </w:rPr>
            </w:pPr>
            <w:r>
              <w:rPr>
                <w:rFonts w:ascii="宋体" w:hAnsi="宋体" w:cs="宋体"/>
              </w:rPr>
              <w:t>2</w:t>
            </w:r>
          </w:p>
        </w:tc>
        <w:tc>
          <w:tcPr>
            <w:tcW w:w="3354" w:type="dxa"/>
            <w:tcBorders>
              <w:top w:val="single" w:color="auto" w:sz="8" w:space="0"/>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color w:val="000000"/>
              </w:rPr>
              <w:t>移动互联汽车数据共享与开放测试方法</w:t>
            </w:r>
          </w:p>
        </w:tc>
        <w:tc>
          <w:tcPr>
            <w:tcW w:w="1204"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66</w:t>
            </w:r>
          </w:p>
        </w:tc>
        <w:tc>
          <w:tcPr>
            <w:tcW w:w="510" w:type="dxa"/>
            <w:tcBorders>
              <w:top w:val="single" w:color="auto" w:sz="8" w:space="0"/>
              <w:left w:val="nil"/>
              <w:bottom w:val="single" w:color="auto" w:sz="8" w:space="0"/>
              <w:right w:val="single" w:color="auto" w:sz="8" w:space="0"/>
            </w:tcBorders>
            <w:shd w:val="clear" w:color="000000" w:fill="FFFFFF"/>
            <w:vAlign w:val="center"/>
          </w:tcPr>
          <w:p>
            <w:pPr>
              <w:rPr>
                <w:rFonts w:ascii="宋体"/>
              </w:rPr>
            </w:pPr>
            <w:r>
              <w:rPr>
                <w:rFonts w:ascii="宋体" w:hAnsi="宋体" w:cs="宋体"/>
              </w:rPr>
              <w:t>3</w:t>
            </w:r>
          </w:p>
        </w:tc>
        <w:tc>
          <w:tcPr>
            <w:tcW w:w="3354" w:type="dxa"/>
            <w:tcBorders>
              <w:top w:val="single" w:color="auto" w:sz="8" w:space="0"/>
              <w:left w:val="nil"/>
              <w:bottom w:val="single" w:color="auto" w:sz="8" w:space="0"/>
              <w:right w:val="single" w:color="auto" w:sz="8" w:space="0"/>
            </w:tcBorders>
            <w:shd w:val="clear" w:color="auto" w:fill="auto"/>
            <w:vAlign w:val="center"/>
          </w:tcPr>
          <w:p>
            <w:pPr>
              <w:rPr>
                <w:rFonts w:ascii="宋体"/>
                <w:color w:val="000000"/>
              </w:rPr>
            </w:pPr>
            <w:r>
              <w:rPr>
                <w:rFonts w:hint="eastAsia" w:ascii="宋体" w:hAnsi="宋体" w:cs="宋体"/>
                <w:color w:val="000000"/>
              </w:rPr>
              <w:t>车载排放诊断系统网联数据传送技术要求和测试方法</w:t>
            </w:r>
          </w:p>
        </w:tc>
        <w:tc>
          <w:tcPr>
            <w:tcW w:w="1204"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single" w:color="auto" w:sz="8" w:space="0"/>
              <w:left w:val="single" w:color="auto" w:sz="8" w:space="0"/>
              <w:bottom w:val="single" w:color="auto" w:sz="8" w:space="0"/>
              <w:right w:val="single" w:color="auto" w:sz="8" w:space="0"/>
            </w:tcBorders>
            <w:shd w:val="clear" w:color="auto" w:fill="FFD966"/>
            <w:vAlign w:val="center"/>
          </w:tcPr>
          <w:p>
            <w:pPr>
              <w:rPr>
                <w:rFonts w:ascii="宋体"/>
                <w:color w:val="000000"/>
                <w:kern w:val="0"/>
              </w:rPr>
            </w:pPr>
            <w:r>
              <w:rPr>
                <w:rFonts w:ascii="宋体" w:cs="宋体"/>
                <w:b/>
                <w:bCs/>
                <w:color w:val="000000"/>
                <w:kern w:val="0"/>
              </w:rPr>
              <w:t xml:space="preserve">BCF </w:t>
            </w:r>
            <w:r>
              <w:rPr>
                <w:rFonts w:hint="eastAsia" w:ascii="宋体" w:cs="宋体"/>
                <w:b/>
                <w:bCs/>
                <w:color w:val="000000"/>
                <w:kern w:val="0"/>
              </w:rPr>
              <w:t>网络通信基础数据和云服务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67</w:t>
            </w:r>
          </w:p>
        </w:tc>
        <w:tc>
          <w:tcPr>
            <w:tcW w:w="510" w:type="dxa"/>
            <w:tcBorders>
              <w:top w:val="single" w:color="auto" w:sz="8" w:space="0"/>
              <w:left w:val="nil"/>
              <w:bottom w:val="single" w:color="auto" w:sz="8" w:space="0"/>
              <w:right w:val="single" w:color="auto" w:sz="8" w:space="0"/>
            </w:tcBorders>
            <w:shd w:val="clear" w:color="000000" w:fill="FFFFFF"/>
            <w:vAlign w:val="center"/>
          </w:tcPr>
          <w:p>
            <w:pPr>
              <w:rPr>
                <w:rFonts w:ascii="宋体"/>
              </w:rPr>
            </w:pPr>
            <w:r>
              <w:rPr>
                <w:rFonts w:ascii="宋体" w:hAnsi="宋体" w:cs="宋体"/>
              </w:rPr>
              <w:t>1</w:t>
            </w:r>
          </w:p>
        </w:tc>
        <w:tc>
          <w:tcPr>
            <w:tcW w:w="3354" w:type="dxa"/>
            <w:tcBorders>
              <w:top w:val="single" w:color="auto" w:sz="8" w:space="0"/>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rPr>
              <w:t>基础数据平台参考架构</w:t>
            </w:r>
          </w:p>
        </w:tc>
        <w:tc>
          <w:tcPr>
            <w:tcW w:w="1204"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国家标准</w:t>
            </w:r>
          </w:p>
        </w:tc>
        <w:tc>
          <w:tcPr>
            <w:tcW w:w="1007"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olor w:val="000000"/>
                <w:kern w:val="0"/>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68</w:t>
            </w:r>
          </w:p>
        </w:tc>
        <w:tc>
          <w:tcPr>
            <w:tcW w:w="510" w:type="dxa"/>
            <w:tcBorders>
              <w:top w:val="single" w:color="auto" w:sz="8" w:space="0"/>
              <w:left w:val="nil"/>
              <w:bottom w:val="single" w:color="auto" w:sz="8" w:space="0"/>
              <w:right w:val="single" w:color="auto" w:sz="8" w:space="0"/>
            </w:tcBorders>
            <w:shd w:val="clear" w:color="000000" w:fill="FFFFFF"/>
            <w:vAlign w:val="center"/>
          </w:tcPr>
          <w:p>
            <w:pPr>
              <w:rPr>
                <w:rFonts w:ascii="宋体"/>
              </w:rPr>
            </w:pPr>
            <w:r>
              <w:rPr>
                <w:rFonts w:ascii="宋体" w:hAnsi="宋体" w:cs="宋体"/>
              </w:rPr>
              <w:t>2</w:t>
            </w:r>
          </w:p>
        </w:tc>
        <w:tc>
          <w:tcPr>
            <w:tcW w:w="3354" w:type="dxa"/>
            <w:tcBorders>
              <w:top w:val="single" w:color="auto" w:sz="8" w:space="0"/>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rPr>
              <w:t>基础数据数据流通通用要求</w:t>
            </w:r>
          </w:p>
        </w:tc>
        <w:tc>
          <w:tcPr>
            <w:tcW w:w="1204"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rPr>
              <w:t>行业标准</w:t>
            </w:r>
          </w:p>
        </w:tc>
        <w:tc>
          <w:tcPr>
            <w:tcW w:w="1007"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olor w:val="000000"/>
                <w:kern w:val="0"/>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69</w:t>
            </w:r>
          </w:p>
        </w:tc>
        <w:tc>
          <w:tcPr>
            <w:tcW w:w="510" w:type="dxa"/>
            <w:tcBorders>
              <w:top w:val="single" w:color="auto" w:sz="8" w:space="0"/>
              <w:left w:val="nil"/>
              <w:bottom w:val="single" w:color="auto" w:sz="8" w:space="0"/>
              <w:right w:val="single" w:color="auto" w:sz="8" w:space="0"/>
            </w:tcBorders>
            <w:shd w:val="clear" w:color="000000" w:fill="FFFFFF"/>
            <w:vAlign w:val="center"/>
          </w:tcPr>
          <w:p>
            <w:pPr>
              <w:rPr>
                <w:rFonts w:ascii="宋体"/>
              </w:rPr>
            </w:pPr>
            <w:r>
              <w:rPr>
                <w:rFonts w:ascii="宋体" w:hAnsi="宋体" w:cs="宋体"/>
              </w:rPr>
              <w:t>3</w:t>
            </w:r>
          </w:p>
        </w:tc>
        <w:tc>
          <w:tcPr>
            <w:tcW w:w="3354" w:type="dxa"/>
            <w:tcBorders>
              <w:top w:val="single" w:color="auto" w:sz="8" w:space="0"/>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rPr>
              <w:t>基础数据交易平台</w:t>
            </w:r>
          </w:p>
        </w:tc>
        <w:tc>
          <w:tcPr>
            <w:tcW w:w="1204"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rPr>
              <w:t>行业标准</w:t>
            </w:r>
          </w:p>
        </w:tc>
        <w:tc>
          <w:tcPr>
            <w:tcW w:w="1007"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70</w:t>
            </w:r>
          </w:p>
        </w:tc>
        <w:tc>
          <w:tcPr>
            <w:tcW w:w="510" w:type="dxa"/>
            <w:tcBorders>
              <w:top w:val="single" w:color="auto" w:sz="8" w:space="0"/>
              <w:left w:val="nil"/>
              <w:bottom w:val="single" w:color="auto" w:sz="8" w:space="0"/>
              <w:right w:val="single" w:color="auto" w:sz="8" w:space="0"/>
            </w:tcBorders>
            <w:shd w:val="clear" w:color="000000" w:fill="FFFFFF"/>
            <w:vAlign w:val="center"/>
          </w:tcPr>
          <w:p>
            <w:pPr>
              <w:rPr>
                <w:rFonts w:ascii="宋体"/>
              </w:rPr>
            </w:pPr>
            <w:r>
              <w:rPr>
                <w:rFonts w:ascii="宋体" w:hAnsi="宋体" w:cs="宋体"/>
              </w:rPr>
              <w:t>4</w:t>
            </w:r>
          </w:p>
        </w:tc>
        <w:tc>
          <w:tcPr>
            <w:tcW w:w="3354" w:type="dxa"/>
            <w:tcBorders>
              <w:top w:val="single" w:color="auto" w:sz="8" w:space="0"/>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rPr>
              <w:t>基础数据公共服务数据开放技术要求</w:t>
            </w:r>
          </w:p>
        </w:tc>
        <w:tc>
          <w:tcPr>
            <w:tcW w:w="1204"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rPr>
              <w:t>行业标准</w:t>
            </w:r>
          </w:p>
        </w:tc>
        <w:tc>
          <w:tcPr>
            <w:tcW w:w="1007"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71</w:t>
            </w:r>
          </w:p>
        </w:tc>
        <w:tc>
          <w:tcPr>
            <w:tcW w:w="510" w:type="dxa"/>
            <w:tcBorders>
              <w:top w:val="single" w:color="auto" w:sz="8" w:space="0"/>
              <w:left w:val="nil"/>
              <w:bottom w:val="single" w:color="auto" w:sz="8" w:space="0"/>
              <w:right w:val="single" w:color="auto" w:sz="8" w:space="0"/>
            </w:tcBorders>
            <w:shd w:val="clear" w:color="000000" w:fill="FFFFFF"/>
            <w:vAlign w:val="center"/>
          </w:tcPr>
          <w:p>
            <w:pPr>
              <w:rPr>
                <w:rFonts w:ascii="宋体"/>
              </w:rPr>
            </w:pPr>
            <w:r>
              <w:rPr>
                <w:rFonts w:ascii="宋体" w:hAnsi="宋体" w:cs="宋体"/>
              </w:rPr>
              <w:t>5</w:t>
            </w:r>
          </w:p>
        </w:tc>
        <w:tc>
          <w:tcPr>
            <w:tcW w:w="3354" w:type="dxa"/>
            <w:tcBorders>
              <w:top w:val="single" w:color="auto" w:sz="8" w:space="0"/>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rPr>
              <w:t>企业级</w:t>
            </w:r>
            <w:r>
              <w:rPr>
                <w:rFonts w:ascii="宋体" w:hAnsi="宋体" w:cs="宋体"/>
              </w:rPr>
              <w:t>SaaS</w:t>
            </w:r>
            <w:r>
              <w:rPr>
                <w:rFonts w:hint="eastAsia" w:ascii="宋体" w:hAnsi="宋体" w:cs="宋体"/>
              </w:rPr>
              <w:t>评估方法</w:t>
            </w:r>
          </w:p>
        </w:tc>
        <w:tc>
          <w:tcPr>
            <w:tcW w:w="1204"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rPr>
              <w:t>行业标准</w:t>
            </w:r>
          </w:p>
        </w:tc>
        <w:tc>
          <w:tcPr>
            <w:tcW w:w="1007"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72</w:t>
            </w:r>
          </w:p>
        </w:tc>
        <w:tc>
          <w:tcPr>
            <w:tcW w:w="510" w:type="dxa"/>
            <w:tcBorders>
              <w:top w:val="single" w:color="auto" w:sz="8" w:space="0"/>
              <w:left w:val="nil"/>
              <w:bottom w:val="single" w:color="auto" w:sz="8" w:space="0"/>
              <w:right w:val="single" w:color="auto" w:sz="8" w:space="0"/>
            </w:tcBorders>
            <w:shd w:val="clear" w:color="000000" w:fill="FFFFFF"/>
            <w:vAlign w:val="center"/>
          </w:tcPr>
          <w:p>
            <w:pPr>
              <w:rPr>
                <w:rFonts w:ascii="宋体"/>
              </w:rPr>
            </w:pPr>
            <w:r>
              <w:rPr>
                <w:rFonts w:ascii="宋体" w:hAnsi="宋体" w:cs="宋体"/>
              </w:rPr>
              <w:t>6</w:t>
            </w:r>
          </w:p>
        </w:tc>
        <w:tc>
          <w:tcPr>
            <w:tcW w:w="3354" w:type="dxa"/>
            <w:tcBorders>
              <w:top w:val="single" w:color="auto" w:sz="8" w:space="0"/>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rPr>
              <w:t>混合云解决方案评估标准</w:t>
            </w:r>
          </w:p>
        </w:tc>
        <w:tc>
          <w:tcPr>
            <w:tcW w:w="1204"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rPr>
              <w:t>行业标准</w:t>
            </w:r>
          </w:p>
        </w:tc>
        <w:tc>
          <w:tcPr>
            <w:tcW w:w="1007"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73</w:t>
            </w:r>
          </w:p>
        </w:tc>
        <w:tc>
          <w:tcPr>
            <w:tcW w:w="510" w:type="dxa"/>
            <w:tcBorders>
              <w:top w:val="single" w:color="auto" w:sz="8" w:space="0"/>
              <w:left w:val="nil"/>
              <w:bottom w:val="single" w:color="auto" w:sz="8" w:space="0"/>
              <w:right w:val="single" w:color="auto" w:sz="8" w:space="0"/>
            </w:tcBorders>
            <w:shd w:val="clear" w:color="000000" w:fill="FFFFFF"/>
            <w:vAlign w:val="center"/>
          </w:tcPr>
          <w:p>
            <w:pPr>
              <w:rPr>
                <w:rFonts w:ascii="宋体"/>
              </w:rPr>
            </w:pPr>
            <w:r>
              <w:rPr>
                <w:rFonts w:ascii="宋体" w:hAnsi="宋体" w:cs="宋体"/>
              </w:rPr>
              <w:t>7</w:t>
            </w:r>
          </w:p>
        </w:tc>
        <w:tc>
          <w:tcPr>
            <w:tcW w:w="3354" w:type="dxa"/>
            <w:tcBorders>
              <w:top w:val="single" w:color="auto" w:sz="8" w:space="0"/>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rPr>
              <w:t>移动互联网</w:t>
            </w:r>
            <w:r>
              <w:rPr>
                <w:rFonts w:ascii="宋体" w:hAnsi="宋体" w:cs="宋体"/>
              </w:rPr>
              <w:t>+</w:t>
            </w:r>
            <w:r>
              <w:rPr>
                <w:rFonts w:hint="eastAsia" w:ascii="宋体" w:hAnsi="宋体" w:cs="宋体"/>
              </w:rPr>
              <w:t>云云互联接口规范</w:t>
            </w:r>
          </w:p>
        </w:tc>
        <w:tc>
          <w:tcPr>
            <w:tcW w:w="1204"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rPr>
              <w:t>行业标准</w:t>
            </w:r>
          </w:p>
        </w:tc>
        <w:tc>
          <w:tcPr>
            <w:tcW w:w="1007"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8161" w:type="dxa"/>
            <w:gridSpan w:val="7"/>
            <w:tcBorders>
              <w:top w:val="single" w:color="auto" w:sz="8" w:space="0"/>
              <w:left w:val="single" w:color="auto" w:sz="8" w:space="0"/>
              <w:bottom w:val="single" w:color="auto" w:sz="8" w:space="0"/>
              <w:right w:val="single" w:color="auto" w:sz="8" w:space="0"/>
            </w:tcBorders>
            <w:shd w:val="clear" w:color="auto" w:fill="92D050"/>
            <w:vAlign w:val="center"/>
          </w:tcPr>
          <w:p>
            <w:pPr>
              <w:rPr>
                <w:rFonts w:ascii="宋体"/>
                <w:color w:val="000000"/>
                <w:kern w:val="0"/>
              </w:rPr>
            </w:pPr>
            <w:r>
              <w:rPr>
                <w:rFonts w:ascii="宋体" w:hAnsi="宋体" w:cs="宋体"/>
                <w:b/>
                <w:bCs/>
                <w:color w:val="000000"/>
                <w:kern w:val="0"/>
              </w:rPr>
              <w:t xml:space="preserve">BD </w:t>
            </w:r>
            <w:r>
              <w:rPr>
                <w:rFonts w:hint="eastAsia" w:ascii="宋体" w:hAnsi="宋体" w:cs="宋体"/>
                <w:b/>
                <w:bCs/>
                <w:color w:val="000000"/>
                <w:kern w:val="0"/>
              </w:rPr>
              <w:t>网络与数据安全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8161" w:type="dxa"/>
            <w:gridSpan w:val="7"/>
            <w:tcBorders>
              <w:top w:val="single" w:color="auto" w:sz="8" w:space="0"/>
              <w:left w:val="single" w:color="auto" w:sz="8" w:space="0"/>
              <w:bottom w:val="single" w:color="auto" w:sz="8" w:space="0"/>
              <w:right w:val="single" w:color="auto" w:sz="8" w:space="0"/>
            </w:tcBorders>
            <w:shd w:val="clear" w:color="auto" w:fill="FFD966"/>
            <w:vAlign w:val="center"/>
          </w:tcPr>
          <w:p>
            <w:pPr>
              <w:rPr>
                <w:rFonts w:ascii="宋体"/>
                <w:color w:val="000000"/>
                <w:kern w:val="0"/>
              </w:rPr>
            </w:pPr>
            <w:r>
              <w:rPr>
                <w:rFonts w:ascii="宋体" w:hAnsi="宋体" w:cs="宋体"/>
                <w:b/>
                <w:bCs/>
                <w:color w:val="000000"/>
                <w:kern w:val="0"/>
              </w:rPr>
              <w:t>BDA</w:t>
            </w:r>
            <w:r>
              <w:rPr>
                <w:rFonts w:hint="eastAsia" w:ascii="宋体" w:hAnsi="宋体" w:cs="宋体"/>
                <w:b/>
                <w:bCs/>
                <w:color w:val="000000"/>
                <w:kern w:val="0"/>
              </w:rPr>
              <w:t>安全体系架构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4"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74</w:t>
            </w:r>
          </w:p>
        </w:tc>
        <w:tc>
          <w:tcPr>
            <w:tcW w:w="510" w:type="dxa"/>
            <w:tcBorders>
              <w:top w:val="nil"/>
              <w:left w:val="nil"/>
              <w:bottom w:val="single" w:color="auto" w:sz="4"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w:t>
            </w:r>
          </w:p>
        </w:tc>
        <w:tc>
          <w:tcPr>
            <w:tcW w:w="3354" w:type="dxa"/>
            <w:tcBorders>
              <w:top w:val="nil"/>
              <w:left w:val="nil"/>
              <w:bottom w:val="single" w:color="auto" w:sz="4" w:space="0"/>
              <w:right w:val="single" w:color="auto" w:sz="8" w:space="0"/>
            </w:tcBorders>
            <w:shd w:val="clear" w:color="auto" w:fill="auto"/>
            <w:vAlign w:val="center"/>
          </w:tcPr>
          <w:p>
            <w:pPr>
              <w:rPr>
                <w:rFonts w:ascii="宋体"/>
              </w:rPr>
            </w:pPr>
            <w:r>
              <w:rPr>
                <w:rFonts w:hint="eastAsia" w:ascii="宋体" w:hAnsi="宋体" w:cs="宋体"/>
              </w:rPr>
              <w:t>网络总体安全架构要求</w:t>
            </w:r>
          </w:p>
        </w:tc>
        <w:tc>
          <w:tcPr>
            <w:tcW w:w="1204" w:type="dxa"/>
            <w:tcBorders>
              <w:top w:val="nil"/>
              <w:left w:val="nil"/>
              <w:bottom w:val="single" w:color="auto" w:sz="4"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行业标准</w:t>
            </w:r>
          </w:p>
        </w:tc>
        <w:tc>
          <w:tcPr>
            <w:tcW w:w="1007" w:type="dxa"/>
            <w:tcBorders>
              <w:top w:val="nil"/>
              <w:left w:val="nil"/>
              <w:bottom w:val="single" w:color="auto" w:sz="4"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4"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4"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single" w:color="auto" w:sz="4" w:space="0"/>
              <w:left w:val="single" w:color="auto" w:sz="4" w:space="0"/>
              <w:bottom w:val="single" w:color="auto" w:sz="4" w:space="0"/>
              <w:right w:val="single" w:color="auto" w:sz="4" w:space="0"/>
            </w:tcBorders>
            <w:shd w:val="clear" w:color="auto" w:fill="FFCC66"/>
            <w:vAlign w:val="top"/>
          </w:tcPr>
          <w:p>
            <w:pPr>
              <w:rPr>
                <w:rFonts w:ascii="宋体"/>
                <w:b/>
                <w:bCs/>
                <w:color w:val="000000"/>
                <w:kern w:val="0"/>
              </w:rPr>
            </w:pPr>
            <w:r>
              <w:rPr>
                <w:rFonts w:ascii="宋体" w:hAnsi="宋体" w:cs="宋体"/>
                <w:b/>
                <w:bCs/>
                <w:color w:val="000000"/>
                <w:kern w:val="0"/>
              </w:rPr>
              <w:t>BDB</w:t>
            </w:r>
            <w:r>
              <w:rPr>
                <w:rFonts w:hint="eastAsia" w:ascii="宋体" w:hAnsi="宋体" w:cs="宋体"/>
                <w:b/>
                <w:bCs/>
                <w:color w:val="000000"/>
                <w:kern w:val="0"/>
              </w:rPr>
              <w:t>通信安全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single" w:color="auto" w:sz="4" w:space="0"/>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75</w:t>
            </w:r>
          </w:p>
        </w:tc>
        <w:tc>
          <w:tcPr>
            <w:tcW w:w="510" w:type="dxa"/>
            <w:tcBorders>
              <w:top w:val="single" w:color="auto" w:sz="4" w:space="0"/>
              <w:left w:val="nil"/>
              <w:bottom w:val="single" w:color="auto" w:sz="8" w:space="0"/>
              <w:right w:val="single" w:color="auto" w:sz="8" w:space="0"/>
            </w:tcBorders>
            <w:shd w:val="clear" w:color="000000" w:fill="FFFFFF"/>
            <w:vAlign w:val="center"/>
          </w:tcPr>
          <w:p>
            <w:pPr>
              <w:rPr>
                <w:rFonts w:ascii="宋体" w:hAnsi="宋体" w:cs="宋体"/>
                <w:color w:val="000000"/>
                <w:kern w:val="0"/>
              </w:rPr>
            </w:pPr>
            <w:r>
              <w:rPr>
                <w:rFonts w:ascii="宋体" w:hAnsi="宋体" w:cs="宋体"/>
                <w:color w:val="000000"/>
                <w:kern w:val="0"/>
              </w:rPr>
              <w:t>1</w:t>
            </w:r>
          </w:p>
        </w:tc>
        <w:tc>
          <w:tcPr>
            <w:tcW w:w="3354" w:type="dxa"/>
            <w:tcBorders>
              <w:top w:val="single" w:color="auto" w:sz="4" w:space="0"/>
              <w:left w:val="nil"/>
              <w:bottom w:val="single" w:color="auto" w:sz="8" w:space="0"/>
              <w:right w:val="single" w:color="auto" w:sz="8" w:space="0"/>
            </w:tcBorders>
            <w:shd w:val="clear" w:color="auto" w:fill="auto"/>
            <w:vAlign w:val="center"/>
          </w:tcPr>
          <w:p>
            <w:pPr>
              <w:rPr>
                <w:rFonts w:ascii="宋体"/>
              </w:rPr>
            </w:pPr>
            <w:r>
              <w:rPr>
                <w:rFonts w:ascii="宋体" w:hAnsi="宋体" w:cs="宋体"/>
              </w:rPr>
              <w:t>LTE-V2X</w:t>
            </w:r>
            <w:r>
              <w:rPr>
                <w:rFonts w:hint="eastAsia" w:ascii="宋体" w:hAnsi="宋体" w:cs="宋体"/>
              </w:rPr>
              <w:t>通信安全测试方法</w:t>
            </w:r>
          </w:p>
        </w:tc>
        <w:tc>
          <w:tcPr>
            <w:tcW w:w="1204" w:type="dxa"/>
            <w:tcBorders>
              <w:top w:val="single" w:color="auto" w:sz="4"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国家标准</w:t>
            </w:r>
          </w:p>
        </w:tc>
        <w:tc>
          <w:tcPr>
            <w:tcW w:w="1007" w:type="dxa"/>
            <w:tcBorders>
              <w:top w:val="single" w:color="auto" w:sz="4"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single" w:color="auto" w:sz="4"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single" w:color="auto" w:sz="4"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76</w:t>
            </w:r>
          </w:p>
        </w:tc>
        <w:tc>
          <w:tcPr>
            <w:tcW w:w="510"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2</w:t>
            </w:r>
          </w:p>
        </w:tc>
        <w:tc>
          <w:tcPr>
            <w:tcW w:w="3354" w:type="dxa"/>
            <w:tcBorders>
              <w:top w:val="nil"/>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rPr>
              <w:t>无线通信安全技术指南</w:t>
            </w:r>
          </w:p>
        </w:tc>
        <w:tc>
          <w:tcPr>
            <w:tcW w:w="1204"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已立项</w:t>
            </w: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nil"/>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77</w:t>
            </w:r>
          </w:p>
        </w:tc>
        <w:tc>
          <w:tcPr>
            <w:tcW w:w="510" w:type="dxa"/>
            <w:tcBorders>
              <w:top w:val="nil"/>
              <w:left w:val="nil"/>
              <w:bottom w:val="single" w:color="auto" w:sz="8" w:space="0"/>
              <w:right w:val="single" w:color="auto" w:sz="8" w:space="0"/>
            </w:tcBorders>
            <w:shd w:val="clear" w:color="000000" w:fill="FFFFFF"/>
            <w:vAlign w:val="center"/>
          </w:tcPr>
          <w:p>
            <w:pPr>
              <w:rPr>
                <w:rFonts w:ascii="宋体" w:hAnsi="宋体" w:cs="宋体"/>
                <w:color w:val="000000"/>
                <w:kern w:val="0"/>
              </w:rPr>
            </w:pPr>
            <w:r>
              <w:rPr>
                <w:rFonts w:ascii="宋体" w:hAnsi="宋体" w:cs="宋体"/>
                <w:color w:val="000000"/>
                <w:kern w:val="0"/>
              </w:rPr>
              <w:t>3</w:t>
            </w:r>
          </w:p>
        </w:tc>
        <w:tc>
          <w:tcPr>
            <w:tcW w:w="3354" w:type="dxa"/>
            <w:tcBorders>
              <w:top w:val="nil"/>
              <w:left w:val="nil"/>
              <w:bottom w:val="single" w:color="auto" w:sz="8" w:space="0"/>
              <w:right w:val="single" w:color="auto" w:sz="8" w:space="0"/>
            </w:tcBorders>
            <w:shd w:val="clear" w:color="auto" w:fill="auto"/>
            <w:vAlign w:val="center"/>
          </w:tcPr>
          <w:p>
            <w:pPr>
              <w:rPr>
                <w:rFonts w:ascii="宋体"/>
                <w:color w:val="000000"/>
                <w:kern w:val="0"/>
              </w:rPr>
            </w:pPr>
            <w:r>
              <w:rPr>
                <w:rFonts w:hint="eastAsia" w:ascii="宋体" w:hAnsi="宋体" w:cs="宋体"/>
                <w:color w:val="000000"/>
                <w:kern w:val="0"/>
              </w:rPr>
              <w:t>智能网关安全技术及测试要求</w:t>
            </w:r>
          </w:p>
        </w:tc>
        <w:tc>
          <w:tcPr>
            <w:tcW w:w="1204"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rPr>
              <w:t>行业标准</w:t>
            </w:r>
          </w:p>
        </w:tc>
        <w:tc>
          <w:tcPr>
            <w:tcW w:w="1007"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nil"/>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single" w:color="auto" w:sz="8" w:space="0"/>
              <w:left w:val="single" w:color="auto" w:sz="8" w:space="0"/>
              <w:bottom w:val="single" w:color="auto" w:sz="8" w:space="0"/>
              <w:right w:val="single" w:color="auto" w:sz="8" w:space="0"/>
            </w:tcBorders>
            <w:shd w:val="clear" w:color="auto" w:fill="FFD966"/>
            <w:vAlign w:val="center"/>
          </w:tcPr>
          <w:p>
            <w:pPr>
              <w:rPr>
                <w:rFonts w:ascii="宋体"/>
                <w:color w:val="000000"/>
                <w:kern w:val="0"/>
              </w:rPr>
            </w:pPr>
            <w:r>
              <w:rPr>
                <w:rFonts w:ascii="宋体" w:hAnsi="宋体" w:cs="宋体"/>
                <w:b/>
                <w:bCs/>
                <w:color w:val="000000"/>
                <w:kern w:val="0"/>
              </w:rPr>
              <w:t>BDC</w:t>
            </w:r>
            <w:r>
              <w:rPr>
                <w:rFonts w:hint="eastAsia" w:ascii="宋体" w:hAnsi="宋体" w:cs="宋体"/>
                <w:b/>
                <w:bCs/>
                <w:color w:val="000000"/>
                <w:kern w:val="0"/>
              </w:rPr>
              <w:t>数据安全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7</w:t>
            </w:r>
            <w:r>
              <w:rPr>
                <w:rFonts w:hint="eastAsia" w:ascii="宋体" w:cs="宋体"/>
                <w:color w:val="000000"/>
                <w:kern w:val="0"/>
              </w:rPr>
              <w:t>8</w:t>
            </w:r>
          </w:p>
        </w:tc>
        <w:tc>
          <w:tcPr>
            <w:tcW w:w="510"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1</w:t>
            </w:r>
          </w:p>
        </w:tc>
        <w:tc>
          <w:tcPr>
            <w:tcW w:w="3354" w:type="dxa"/>
            <w:tcBorders>
              <w:top w:val="single" w:color="auto" w:sz="8" w:space="0"/>
              <w:left w:val="nil"/>
              <w:bottom w:val="single" w:color="auto" w:sz="8" w:space="0"/>
              <w:right w:val="single" w:color="auto" w:sz="8" w:space="0"/>
            </w:tcBorders>
            <w:shd w:val="clear" w:color="auto" w:fill="auto"/>
            <w:vAlign w:val="center"/>
          </w:tcPr>
          <w:p>
            <w:pPr>
              <w:rPr>
                <w:rFonts w:ascii="宋体"/>
                <w:color w:val="000000"/>
                <w:kern w:val="0"/>
              </w:rPr>
            </w:pPr>
            <w:r>
              <w:rPr>
                <w:rFonts w:hint="eastAsia" w:ascii="宋体" w:hAnsi="宋体" w:cs="宋体"/>
              </w:rPr>
              <w:t>基于公众电信网的联网汽车信息安全</w:t>
            </w:r>
          </w:p>
        </w:tc>
        <w:tc>
          <w:tcPr>
            <w:tcW w:w="1204"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行业标准</w:t>
            </w:r>
          </w:p>
        </w:tc>
        <w:tc>
          <w:tcPr>
            <w:tcW w:w="1007"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已立项</w:t>
            </w:r>
          </w:p>
        </w:tc>
        <w:tc>
          <w:tcPr>
            <w:tcW w:w="882"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hint="eastAsia" w:ascii="宋体" w:cs="宋体"/>
                <w:color w:val="000000"/>
                <w:kern w:val="0"/>
              </w:rPr>
              <w:t>79</w:t>
            </w:r>
          </w:p>
        </w:tc>
        <w:tc>
          <w:tcPr>
            <w:tcW w:w="510" w:type="dxa"/>
            <w:tcBorders>
              <w:top w:val="single" w:color="auto" w:sz="8" w:space="0"/>
              <w:left w:val="nil"/>
              <w:bottom w:val="single" w:color="auto" w:sz="8" w:space="0"/>
              <w:right w:val="single" w:color="auto" w:sz="8" w:space="0"/>
            </w:tcBorders>
            <w:shd w:val="clear" w:color="000000" w:fill="FFFFFF"/>
            <w:vAlign w:val="center"/>
          </w:tcPr>
          <w:p>
            <w:pPr>
              <w:rPr>
                <w:rFonts w:ascii="宋体"/>
              </w:rPr>
            </w:pPr>
            <w:r>
              <w:rPr>
                <w:rFonts w:ascii="宋体" w:hAnsi="宋体" w:cs="宋体"/>
              </w:rPr>
              <w:t>2</w:t>
            </w:r>
          </w:p>
        </w:tc>
        <w:tc>
          <w:tcPr>
            <w:tcW w:w="3354" w:type="dxa"/>
            <w:tcBorders>
              <w:top w:val="single" w:color="auto" w:sz="8" w:space="0"/>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rPr>
              <w:t>用户个人信息保护技术要求</w:t>
            </w:r>
          </w:p>
        </w:tc>
        <w:tc>
          <w:tcPr>
            <w:tcW w:w="1204"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行业标准</w:t>
            </w:r>
          </w:p>
        </w:tc>
        <w:tc>
          <w:tcPr>
            <w:tcW w:w="1007"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已立项</w:t>
            </w:r>
          </w:p>
        </w:tc>
        <w:tc>
          <w:tcPr>
            <w:tcW w:w="882"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color w:val="000000"/>
                <w:kern w:val="0"/>
              </w:rPr>
            </w:pPr>
            <w:r>
              <w:rPr>
                <w:rFonts w:ascii="宋体" w:hAnsi="宋体" w:cs="宋体"/>
                <w:color w:val="000000"/>
                <w:kern w:val="0"/>
              </w:rPr>
              <w:t>8</w:t>
            </w:r>
            <w:r>
              <w:rPr>
                <w:rFonts w:hint="eastAsia" w:ascii="宋体" w:hAnsi="宋体" w:cs="宋体"/>
                <w:color w:val="000000"/>
                <w:kern w:val="0"/>
              </w:rPr>
              <w:t>0</w:t>
            </w:r>
          </w:p>
        </w:tc>
        <w:tc>
          <w:tcPr>
            <w:tcW w:w="510" w:type="dxa"/>
            <w:tcBorders>
              <w:top w:val="single" w:color="auto" w:sz="8" w:space="0"/>
              <w:left w:val="nil"/>
              <w:bottom w:val="single" w:color="auto" w:sz="8" w:space="0"/>
              <w:right w:val="single" w:color="auto" w:sz="8" w:space="0"/>
            </w:tcBorders>
            <w:shd w:val="clear" w:color="000000" w:fill="FFFFFF"/>
            <w:vAlign w:val="center"/>
          </w:tcPr>
          <w:p>
            <w:pPr>
              <w:rPr>
                <w:rFonts w:ascii="宋体"/>
              </w:rPr>
            </w:pPr>
            <w:r>
              <w:rPr>
                <w:rFonts w:ascii="宋体" w:hAnsi="宋体" w:cs="宋体"/>
                <w:color w:val="000000"/>
                <w:kern w:val="0"/>
              </w:rPr>
              <w:t>3</w:t>
            </w:r>
          </w:p>
        </w:tc>
        <w:tc>
          <w:tcPr>
            <w:tcW w:w="3354" w:type="dxa"/>
            <w:tcBorders>
              <w:top w:val="single" w:color="auto" w:sz="8" w:space="0"/>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rPr>
              <w:t>信息服务数据安全技术要求</w:t>
            </w:r>
          </w:p>
        </w:tc>
        <w:tc>
          <w:tcPr>
            <w:tcW w:w="1204"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rPr>
              <w:t>行业标准</w:t>
            </w:r>
          </w:p>
        </w:tc>
        <w:tc>
          <w:tcPr>
            <w:tcW w:w="1007"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已立项</w:t>
            </w:r>
          </w:p>
        </w:tc>
        <w:tc>
          <w:tcPr>
            <w:tcW w:w="882"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急需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single" w:color="auto" w:sz="8" w:space="0"/>
              <w:left w:val="single" w:color="auto" w:sz="8" w:space="0"/>
              <w:bottom w:val="single" w:color="auto" w:sz="8" w:space="0"/>
              <w:right w:val="single" w:color="auto" w:sz="8" w:space="0"/>
            </w:tcBorders>
            <w:shd w:val="clear" w:color="auto" w:fill="FFD966"/>
            <w:vAlign w:val="center"/>
          </w:tcPr>
          <w:p>
            <w:pPr>
              <w:rPr>
                <w:rFonts w:ascii="宋体"/>
                <w:color w:val="000000"/>
                <w:kern w:val="0"/>
              </w:rPr>
            </w:pPr>
            <w:r>
              <w:rPr>
                <w:rFonts w:ascii="宋体" w:hAnsi="宋体" w:cs="宋体"/>
                <w:b/>
                <w:bCs/>
                <w:color w:val="000000"/>
                <w:kern w:val="0"/>
              </w:rPr>
              <w:t xml:space="preserve">BDD </w:t>
            </w:r>
            <w:r>
              <w:rPr>
                <w:rFonts w:hint="eastAsia" w:ascii="宋体" w:hAnsi="宋体" w:cs="宋体"/>
                <w:b/>
                <w:bCs/>
                <w:color w:val="000000"/>
                <w:kern w:val="0"/>
              </w:rPr>
              <w:t>网络安全防护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8</w:t>
            </w:r>
            <w:r>
              <w:rPr>
                <w:rFonts w:hint="eastAsia" w:ascii="宋体" w:cs="宋体"/>
                <w:color w:val="000000"/>
                <w:kern w:val="0"/>
              </w:rPr>
              <w:t>1</w:t>
            </w:r>
          </w:p>
        </w:tc>
        <w:tc>
          <w:tcPr>
            <w:tcW w:w="510" w:type="dxa"/>
            <w:tcBorders>
              <w:top w:val="single" w:color="auto" w:sz="8" w:space="0"/>
              <w:left w:val="nil"/>
              <w:bottom w:val="single" w:color="auto" w:sz="8" w:space="0"/>
              <w:right w:val="single" w:color="auto" w:sz="8" w:space="0"/>
            </w:tcBorders>
            <w:shd w:val="clear" w:color="000000" w:fill="FFFFFF"/>
            <w:vAlign w:val="center"/>
          </w:tcPr>
          <w:p>
            <w:pPr>
              <w:rPr>
                <w:rFonts w:ascii="宋体"/>
              </w:rPr>
            </w:pPr>
            <w:r>
              <w:rPr>
                <w:rFonts w:ascii="宋体" w:hAnsi="宋体" w:cs="宋体"/>
              </w:rPr>
              <w:t>1</w:t>
            </w:r>
          </w:p>
        </w:tc>
        <w:tc>
          <w:tcPr>
            <w:tcW w:w="3354" w:type="dxa"/>
            <w:tcBorders>
              <w:top w:val="single" w:color="auto" w:sz="8" w:space="0"/>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color w:val="000000"/>
              </w:rPr>
              <w:t>信息服务平台安全防护要求</w:t>
            </w:r>
          </w:p>
        </w:tc>
        <w:tc>
          <w:tcPr>
            <w:tcW w:w="1204"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已立项</w:t>
            </w:r>
          </w:p>
        </w:tc>
        <w:tc>
          <w:tcPr>
            <w:tcW w:w="882"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cs="宋体"/>
                <w:color w:val="000000"/>
                <w:kern w:val="0"/>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single" w:color="auto" w:sz="8" w:space="0"/>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8</w:t>
            </w:r>
            <w:r>
              <w:rPr>
                <w:rFonts w:hint="eastAsia" w:ascii="宋体" w:cs="宋体"/>
                <w:color w:val="000000"/>
                <w:kern w:val="0"/>
              </w:rPr>
              <w:t>2</w:t>
            </w:r>
          </w:p>
        </w:tc>
        <w:tc>
          <w:tcPr>
            <w:tcW w:w="510" w:type="dxa"/>
            <w:tcBorders>
              <w:top w:val="single" w:color="auto" w:sz="8" w:space="0"/>
              <w:left w:val="nil"/>
              <w:bottom w:val="single" w:color="auto" w:sz="8" w:space="0"/>
              <w:right w:val="single" w:color="auto" w:sz="8" w:space="0"/>
            </w:tcBorders>
            <w:shd w:val="clear" w:color="000000" w:fill="FFFFFF"/>
            <w:vAlign w:val="center"/>
          </w:tcPr>
          <w:p>
            <w:pPr>
              <w:rPr>
                <w:rFonts w:ascii="宋体"/>
              </w:rPr>
            </w:pPr>
            <w:r>
              <w:rPr>
                <w:rFonts w:ascii="宋体" w:hAnsi="宋体" w:cs="宋体"/>
              </w:rPr>
              <w:t>2</w:t>
            </w:r>
          </w:p>
        </w:tc>
        <w:tc>
          <w:tcPr>
            <w:tcW w:w="3354" w:type="dxa"/>
            <w:tcBorders>
              <w:top w:val="single" w:color="auto" w:sz="8" w:space="0"/>
              <w:left w:val="nil"/>
              <w:bottom w:val="single" w:color="auto" w:sz="8" w:space="0"/>
              <w:right w:val="single" w:color="auto" w:sz="8" w:space="0"/>
            </w:tcBorders>
            <w:shd w:val="clear" w:color="auto" w:fill="auto"/>
            <w:vAlign w:val="center"/>
          </w:tcPr>
          <w:p>
            <w:pPr>
              <w:rPr>
                <w:rFonts w:ascii="宋体"/>
              </w:rPr>
            </w:pPr>
            <w:r>
              <w:rPr>
                <w:rFonts w:hint="eastAsia" w:ascii="宋体" w:hAnsi="宋体" w:cs="宋体"/>
                <w:color w:val="000000"/>
              </w:rPr>
              <w:t>信息服务平台安全测评要求</w:t>
            </w:r>
          </w:p>
        </w:tc>
        <w:tc>
          <w:tcPr>
            <w:tcW w:w="1204"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single" w:color="auto" w:sz="8" w:space="0"/>
              <w:left w:val="nil"/>
              <w:bottom w:val="single" w:color="auto" w:sz="8"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single" w:color="auto" w:sz="8" w:space="0"/>
              <w:left w:val="single" w:color="auto" w:sz="8" w:space="0"/>
              <w:bottom w:val="single" w:color="auto" w:sz="8" w:space="0"/>
              <w:right w:val="single" w:color="auto" w:sz="8" w:space="0"/>
            </w:tcBorders>
            <w:shd w:val="clear" w:color="auto" w:fill="FFD966"/>
            <w:vAlign w:val="center"/>
          </w:tcPr>
          <w:p>
            <w:pPr>
              <w:rPr>
                <w:rFonts w:ascii="宋体"/>
                <w:color w:val="000000"/>
                <w:kern w:val="0"/>
              </w:rPr>
            </w:pPr>
            <w:r>
              <w:rPr>
                <w:rFonts w:ascii="宋体" w:hAnsi="宋体" w:cs="宋体"/>
                <w:b/>
                <w:bCs/>
                <w:color w:val="000000"/>
                <w:kern w:val="0"/>
              </w:rPr>
              <w:t xml:space="preserve">BDE </w:t>
            </w:r>
            <w:r>
              <w:rPr>
                <w:rFonts w:hint="eastAsia" w:ascii="宋体" w:hAnsi="宋体" w:cs="宋体"/>
                <w:b/>
                <w:bCs/>
                <w:color w:val="000000"/>
                <w:kern w:val="0"/>
              </w:rPr>
              <w:t>安全监测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single" w:color="auto" w:sz="8" w:space="0"/>
              <w:left w:val="single" w:color="auto" w:sz="8" w:space="0"/>
              <w:bottom w:val="single" w:color="auto" w:sz="4"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8</w:t>
            </w:r>
            <w:r>
              <w:rPr>
                <w:rFonts w:hint="eastAsia" w:ascii="宋体" w:cs="宋体"/>
                <w:color w:val="000000"/>
                <w:kern w:val="0"/>
              </w:rPr>
              <w:t>3</w:t>
            </w:r>
          </w:p>
        </w:tc>
        <w:tc>
          <w:tcPr>
            <w:tcW w:w="510" w:type="dxa"/>
            <w:tcBorders>
              <w:top w:val="single" w:color="auto" w:sz="8" w:space="0"/>
              <w:left w:val="nil"/>
              <w:bottom w:val="single" w:color="auto" w:sz="4" w:space="0"/>
              <w:right w:val="single" w:color="auto" w:sz="8" w:space="0"/>
            </w:tcBorders>
            <w:shd w:val="clear" w:color="000000" w:fill="FFFFFF"/>
            <w:vAlign w:val="center"/>
          </w:tcPr>
          <w:p>
            <w:pPr>
              <w:rPr>
                <w:rFonts w:ascii="宋体"/>
              </w:rPr>
            </w:pPr>
            <w:r>
              <w:rPr>
                <w:rFonts w:ascii="宋体" w:hAnsi="宋体" w:cs="宋体"/>
              </w:rPr>
              <w:t>1</w:t>
            </w:r>
          </w:p>
        </w:tc>
        <w:tc>
          <w:tcPr>
            <w:tcW w:w="3354" w:type="dxa"/>
            <w:tcBorders>
              <w:top w:val="single" w:color="auto" w:sz="8" w:space="0"/>
              <w:left w:val="nil"/>
              <w:bottom w:val="single" w:color="auto" w:sz="4" w:space="0"/>
              <w:right w:val="single" w:color="auto" w:sz="8" w:space="0"/>
            </w:tcBorders>
            <w:shd w:val="clear" w:color="auto" w:fill="auto"/>
            <w:vAlign w:val="center"/>
          </w:tcPr>
          <w:p>
            <w:pPr>
              <w:rPr>
                <w:rFonts w:ascii="宋体"/>
                <w:color w:val="000000"/>
              </w:rPr>
            </w:pPr>
            <w:r>
              <w:rPr>
                <w:rFonts w:hint="eastAsia" w:ascii="宋体" w:hAnsi="宋体" w:cs="宋体"/>
                <w:color w:val="000000"/>
              </w:rPr>
              <w:t>网络安全监测技术要求</w:t>
            </w:r>
          </w:p>
        </w:tc>
        <w:tc>
          <w:tcPr>
            <w:tcW w:w="1204" w:type="dxa"/>
            <w:tcBorders>
              <w:top w:val="single" w:color="auto" w:sz="8" w:space="0"/>
              <w:left w:val="nil"/>
              <w:bottom w:val="single" w:color="auto" w:sz="4"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single" w:color="auto" w:sz="8" w:space="0"/>
              <w:left w:val="nil"/>
              <w:bottom w:val="single" w:color="auto" w:sz="4" w:space="0"/>
              <w:right w:val="single" w:color="auto" w:sz="8" w:space="0"/>
            </w:tcBorders>
            <w:shd w:val="clear" w:color="000000" w:fill="FFFFFF"/>
            <w:vAlign w:val="center"/>
          </w:tcPr>
          <w:p>
            <w:pPr>
              <w:rPr>
                <w:rFonts w:ascii="宋体"/>
                <w:color w:val="000000"/>
                <w:kern w:val="0"/>
              </w:rPr>
            </w:pPr>
          </w:p>
        </w:tc>
        <w:tc>
          <w:tcPr>
            <w:tcW w:w="882" w:type="dxa"/>
            <w:tcBorders>
              <w:top w:val="single" w:color="auto" w:sz="8" w:space="0"/>
              <w:left w:val="nil"/>
              <w:bottom w:val="single" w:color="auto" w:sz="4" w:space="0"/>
              <w:right w:val="single" w:color="auto" w:sz="8" w:space="0"/>
            </w:tcBorders>
            <w:shd w:val="clear" w:color="000000" w:fill="FFFFFF"/>
            <w:vAlign w:val="center"/>
          </w:tcPr>
          <w:p>
            <w:pPr>
              <w:rPr>
                <w:rFonts w:ascii="宋体"/>
                <w:color w:val="000000"/>
                <w:kern w:val="0"/>
              </w:rPr>
            </w:pPr>
          </w:p>
        </w:tc>
        <w:tc>
          <w:tcPr>
            <w:tcW w:w="728" w:type="dxa"/>
            <w:tcBorders>
              <w:top w:val="single" w:color="auto" w:sz="8" w:space="0"/>
              <w:left w:val="nil"/>
              <w:bottom w:val="single" w:color="auto" w:sz="4" w:space="0"/>
              <w:right w:val="single" w:color="auto" w:sz="8" w:space="0"/>
            </w:tcBorders>
            <w:shd w:val="clear" w:color="000000" w:fill="FFFFFF"/>
            <w:vAlign w:val="center"/>
          </w:tcPr>
          <w:p>
            <w:pPr>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161" w:type="dxa"/>
            <w:gridSpan w:val="7"/>
            <w:tcBorders>
              <w:top w:val="single" w:color="auto" w:sz="4" w:space="0"/>
              <w:left w:val="single" w:color="auto" w:sz="4" w:space="0"/>
              <w:bottom w:val="single" w:color="auto" w:sz="4" w:space="0"/>
              <w:right w:val="single" w:color="auto" w:sz="4" w:space="0"/>
            </w:tcBorders>
            <w:shd w:val="clear" w:color="auto" w:fill="FFD966"/>
            <w:vAlign w:val="top"/>
          </w:tcPr>
          <w:p>
            <w:pPr>
              <w:rPr>
                <w:rFonts w:ascii="宋体"/>
                <w:color w:val="000000"/>
                <w:kern w:val="0"/>
              </w:rPr>
            </w:pPr>
            <w:r>
              <w:rPr>
                <w:rFonts w:ascii="宋体" w:hAnsi="宋体" w:cs="宋体"/>
                <w:b/>
                <w:bCs/>
                <w:color w:val="000000"/>
                <w:kern w:val="0"/>
              </w:rPr>
              <w:t>BDF</w:t>
            </w:r>
            <w:r>
              <w:rPr>
                <w:rFonts w:hint="eastAsia" w:ascii="宋体" w:hAnsi="宋体" w:cs="宋体"/>
                <w:b/>
                <w:bCs/>
                <w:color w:val="000000"/>
                <w:kern w:val="0"/>
              </w:rPr>
              <w:t>应急管理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476" w:type="dxa"/>
            <w:tcBorders>
              <w:top w:val="single" w:color="auto" w:sz="4" w:space="0"/>
              <w:left w:val="single" w:color="auto" w:sz="8" w:space="0"/>
              <w:bottom w:val="single" w:color="auto" w:sz="8" w:space="0"/>
              <w:right w:val="single" w:color="auto" w:sz="8" w:space="0"/>
            </w:tcBorders>
            <w:shd w:val="clear" w:color="000000" w:fill="FFFFFF"/>
            <w:vAlign w:val="center"/>
          </w:tcPr>
          <w:p>
            <w:pPr>
              <w:rPr>
                <w:rFonts w:ascii="宋体" w:cs="宋体"/>
                <w:color w:val="000000"/>
                <w:kern w:val="0"/>
              </w:rPr>
            </w:pPr>
            <w:r>
              <w:rPr>
                <w:rFonts w:ascii="宋体" w:cs="宋体"/>
                <w:color w:val="000000"/>
                <w:kern w:val="0"/>
              </w:rPr>
              <w:t>8</w:t>
            </w:r>
            <w:r>
              <w:rPr>
                <w:rFonts w:hint="eastAsia" w:ascii="宋体" w:cs="宋体"/>
                <w:color w:val="000000"/>
                <w:kern w:val="0"/>
              </w:rPr>
              <w:t>4</w:t>
            </w:r>
          </w:p>
        </w:tc>
        <w:tc>
          <w:tcPr>
            <w:tcW w:w="510" w:type="dxa"/>
            <w:tcBorders>
              <w:top w:val="single" w:color="auto" w:sz="4" w:space="0"/>
              <w:left w:val="nil"/>
              <w:bottom w:val="single" w:color="auto" w:sz="8" w:space="0"/>
              <w:right w:val="single" w:color="auto" w:sz="8" w:space="0"/>
            </w:tcBorders>
            <w:shd w:val="clear" w:color="000000" w:fill="FFFFFF"/>
            <w:vAlign w:val="center"/>
          </w:tcPr>
          <w:p>
            <w:pPr>
              <w:rPr>
                <w:rFonts w:ascii="宋体"/>
              </w:rPr>
            </w:pPr>
            <w:r>
              <w:rPr>
                <w:rFonts w:ascii="宋体" w:hAnsi="宋体" w:cs="宋体"/>
              </w:rPr>
              <w:t>1</w:t>
            </w:r>
          </w:p>
        </w:tc>
        <w:tc>
          <w:tcPr>
            <w:tcW w:w="3354" w:type="dxa"/>
            <w:tcBorders>
              <w:top w:val="single" w:color="auto" w:sz="4" w:space="0"/>
              <w:left w:val="nil"/>
              <w:bottom w:val="single" w:color="auto" w:sz="8" w:space="0"/>
              <w:right w:val="single" w:color="auto" w:sz="8" w:space="0"/>
            </w:tcBorders>
            <w:shd w:val="clear" w:color="auto" w:fill="auto"/>
            <w:vAlign w:val="center"/>
          </w:tcPr>
          <w:p>
            <w:pPr>
              <w:rPr>
                <w:rFonts w:ascii="宋体"/>
                <w:color w:val="000000"/>
              </w:rPr>
            </w:pPr>
            <w:r>
              <w:rPr>
                <w:rFonts w:hint="eastAsia" w:ascii="宋体" w:hAnsi="宋体" w:cs="宋体"/>
                <w:color w:val="000000"/>
              </w:rPr>
              <w:t>网络安全应急管理要求</w:t>
            </w:r>
          </w:p>
        </w:tc>
        <w:tc>
          <w:tcPr>
            <w:tcW w:w="1204" w:type="dxa"/>
            <w:tcBorders>
              <w:top w:val="single" w:color="auto" w:sz="4" w:space="0"/>
              <w:left w:val="nil"/>
              <w:bottom w:val="single" w:color="auto" w:sz="8" w:space="0"/>
              <w:right w:val="single" w:color="auto" w:sz="8" w:space="0"/>
            </w:tcBorders>
            <w:shd w:val="clear" w:color="000000" w:fill="FFFFFF"/>
            <w:vAlign w:val="center"/>
          </w:tcPr>
          <w:p>
            <w:pPr>
              <w:rPr>
                <w:rFonts w:ascii="宋体"/>
                <w:color w:val="000000"/>
                <w:kern w:val="0"/>
              </w:rPr>
            </w:pPr>
            <w:r>
              <w:rPr>
                <w:rFonts w:hint="eastAsia" w:ascii="宋体" w:hAnsi="宋体" w:cs="宋体"/>
                <w:color w:val="000000"/>
                <w:kern w:val="0"/>
              </w:rPr>
              <w:t>行业标准</w:t>
            </w:r>
          </w:p>
        </w:tc>
        <w:tc>
          <w:tcPr>
            <w:tcW w:w="1007" w:type="dxa"/>
            <w:tcBorders>
              <w:top w:val="single" w:color="auto" w:sz="4"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882" w:type="dxa"/>
            <w:tcBorders>
              <w:top w:val="single" w:color="auto" w:sz="4" w:space="0"/>
              <w:left w:val="nil"/>
              <w:bottom w:val="single" w:color="auto" w:sz="8" w:space="0"/>
              <w:right w:val="single" w:color="auto" w:sz="8" w:space="0"/>
            </w:tcBorders>
            <w:shd w:val="clear" w:color="000000" w:fill="FFFFFF"/>
            <w:vAlign w:val="center"/>
          </w:tcPr>
          <w:p>
            <w:pPr>
              <w:rPr>
                <w:rFonts w:ascii="宋体"/>
                <w:color w:val="000000"/>
                <w:kern w:val="0"/>
              </w:rPr>
            </w:pPr>
          </w:p>
        </w:tc>
        <w:tc>
          <w:tcPr>
            <w:tcW w:w="728" w:type="dxa"/>
            <w:tcBorders>
              <w:top w:val="single" w:color="auto" w:sz="4" w:space="0"/>
              <w:left w:val="nil"/>
              <w:bottom w:val="single" w:color="auto" w:sz="8" w:space="0"/>
              <w:right w:val="single" w:color="auto" w:sz="8" w:space="0"/>
            </w:tcBorders>
            <w:shd w:val="clear" w:color="000000" w:fill="FFFFFF"/>
            <w:vAlign w:val="center"/>
          </w:tcPr>
          <w:p>
            <w:pPr>
              <w:rPr>
                <w:rFonts w:ascii="宋体"/>
                <w:color w:val="000000"/>
                <w:kern w:val="0"/>
              </w:rPr>
            </w:pPr>
          </w:p>
        </w:tc>
      </w:tr>
    </w:tbl>
    <w:p>
      <w:pPr>
        <w:pStyle w:val="2"/>
        <w:numPr>
          <w:ilvl w:val="0"/>
          <w:numId w:val="2"/>
        </w:numPr>
        <w:spacing w:before="156" w:beforeLines="50" w:after="156" w:afterLines="50" w:line="240" w:lineRule="auto"/>
        <w:ind w:left="748" w:hanging="748"/>
        <w:rPr>
          <w:rFonts w:ascii="黑体" w:hAnsi="黑体" w:eastAsia="黑体" w:cs="黑体"/>
          <w:b w:val="0"/>
          <w:bCs w:val="0"/>
          <w:kern w:val="2"/>
          <w:sz w:val="32"/>
          <w:szCs w:val="32"/>
        </w:rPr>
      </w:pPr>
      <w:bookmarkStart w:id="125" w:name="_Toc485375029"/>
      <w:r>
        <w:rPr>
          <w:rFonts w:hint="eastAsia" w:ascii="黑体" w:hAnsi="黑体" w:eastAsia="黑体" w:cs="黑体"/>
          <w:b w:val="0"/>
          <w:bCs w:val="0"/>
          <w:kern w:val="2"/>
          <w:sz w:val="32"/>
          <w:szCs w:val="32"/>
          <w:lang w:eastAsia="zh-CN"/>
        </w:rPr>
        <w:t>车联网产业（信息通信）</w:t>
      </w:r>
      <w:r>
        <w:rPr>
          <w:rFonts w:hint="eastAsia" w:ascii="黑体" w:hAnsi="黑体" w:eastAsia="黑体" w:cs="黑体"/>
          <w:b w:val="0"/>
          <w:bCs w:val="0"/>
          <w:kern w:val="2"/>
          <w:sz w:val="32"/>
          <w:szCs w:val="32"/>
        </w:rPr>
        <w:t>标准体系组织实施</w:t>
      </w:r>
      <w:bookmarkEnd w:id="122"/>
      <w:bookmarkEnd w:id="125"/>
      <w:bookmarkStart w:id="126" w:name="_Toc436335566"/>
      <w:bookmarkEnd w:id="126"/>
    </w:p>
    <w:p>
      <w:pPr>
        <w:pStyle w:val="200"/>
        <w:widowControl w:val="0"/>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继续落实好《车联网创新发展工作方案》等文件部署，加强与《国家车联网产业标准体系建设指南》其他部分的</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lang w:eastAsia="zh-CN"/>
        </w:rPr>
        <w:t>加强沟通协作，由通信行业与电子信息、汽车等行业的标准化组织合作协同推进。</w:t>
      </w:r>
      <w:r>
        <w:rPr>
          <w:rFonts w:hint="eastAsia" w:ascii="仿宋_GB2312" w:hAnsi="仿宋_GB2312" w:eastAsia="仿宋_GB2312" w:cs="仿宋_GB2312"/>
          <w:sz w:val="32"/>
          <w:szCs w:val="32"/>
        </w:rPr>
        <w:t>注重</w:t>
      </w:r>
      <w:r>
        <w:rPr>
          <w:rFonts w:hint="eastAsia" w:ascii="仿宋_GB2312" w:hAnsi="仿宋_GB2312" w:eastAsia="仿宋_GB2312" w:cs="仿宋_GB2312"/>
          <w:sz w:val="32"/>
        </w:rPr>
        <w:t>车联网产业链上下游的协同</w:t>
      </w:r>
      <w:r>
        <w:rPr>
          <w:rFonts w:hint="eastAsia" w:ascii="仿宋_GB2312" w:hAnsi="仿宋_GB2312" w:eastAsia="仿宋_GB2312" w:cs="仿宋_GB2312"/>
          <w:sz w:val="32"/>
          <w:szCs w:val="32"/>
        </w:rPr>
        <w:t>，总体统筹，有序推进。标准体系实施动态更新完善机制，根据产业发展情况和未来需求，不断完善</w:t>
      </w:r>
      <w:r>
        <w:rPr>
          <w:rFonts w:hint="eastAsia" w:ascii="仿宋_GB2312" w:hAnsi="仿宋_GB2312" w:eastAsia="仿宋_GB2312" w:cs="仿宋_GB2312"/>
          <w:sz w:val="32"/>
          <w:szCs w:val="32"/>
          <w:lang w:eastAsia="zh-CN"/>
        </w:rPr>
        <w:t>车联网产业（信息通信）</w:t>
      </w:r>
      <w:r>
        <w:rPr>
          <w:rFonts w:hint="eastAsia" w:ascii="仿宋_GB2312" w:hAnsi="仿宋_GB2312" w:eastAsia="仿宋_GB2312" w:cs="仿宋_GB2312"/>
          <w:sz w:val="32"/>
          <w:szCs w:val="32"/>
        </w:rPr>
        <w:t>标准体系。</w:t>
      </w:r>
    </w:p>
    <w:p>
      <w:pPr>
        <w:pStyle w:val="200"/>
        <w:ind w:firstLine="640"/>
        <w:jc w:val="both"/>
        <w:rPr>
          <w:rFonts w:hint="eastAsia" w:ascii="仿宋_GB2312" w:hAnsi="仿宋_GB2312" w:eastAsia="仿宋_GB2312" w:cs="仿宋_GB2312"/>
        </w:rPr>
      </w:pPr>
      <w:r>
        <w:rPr>
          <w:rFonts w:hint="eastAsia" w:ascii="仿宋_GB2312" w:hAnsi="仿宋_GB2312" w:eastAsia="仿宋_GB2312" w:cs="仿宋_GB2312"/>
          <w:sz w:val="32"/>
          <w:szCs w:val="32"/>
        </w:rPr>
        <w:t>加强国际交流，组织中外企业和标准化组织开展交流合作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参与国际标准化组织（ISO）、国际电联（ITU）、第三代合作伙伴计划（3GPP）、欧洲电信标准化协会（ETSI）、国际电工技术委员会（IEC）等相关国际标准化组织的标准制定工作。充分发挥IMT-2020（5G）推进组的作用，推进相关标准的制定和落地，为产业发展提供技术规范和良好政策环境。</w:t>
      </w:r>
    </w:p>
    <w:sectPr>
      <w:footerReference r:id="rId5" w:type="default"/>
      <w:pgSz w:w="11906" w:h="16838"/>
      <w:pgMar w:top="1440" w:right="1800" w:bottom="1440" w:left="1800" w:header="851" w:footer="689" w:gutter="0"/>
      <w:pgNumType w:start="1"/>
      <w:cols w:space="720" w:num="1"/>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Calibri Light">
    <w:altName w:val="Calibri"/>
    <w:panose1 w:val="020F0302020204030204"/>
    <w:charset w:val="00"/>
    <w:family w:val="auto"/>
    <w:pitch w:val="default"/>
    <w:sig w:usb0="E0002AFF" w:usb1="C000247B" w:usb2="00000009" w:usb3="00000000" w:csb0="0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287" w:usb1="080F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jc w:val="center"/>
    </w:pPr>
    <w:r>
      <w:fldChar w:fldCharType="begin"/>
    </w:r>
    <w:r>
      <w:instrText xml:space="preserve">PAGE   \* MERGEFORMAT</w:instrText>
    </w:r>
    <w:r>
      <w:fldChar w:fldCharType="separate"/>
    </w:r>
    <w:r>
      <w:t>1</w:t>
    </w:r>
    <w:r>
      <w:rPr>
        <w:lang w:val="zh-CN"/>
      </w:rP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15830839">
    <w:nsid w:val="7E1D0437"/>
    <w:multiLevelType w:val="multilevel"/>
    <w:tmpl w:val="7E1D0437"/>
    <w:lvl w:ilvl="0" w:tentative="1">
      <w:start w:val="1"/>
      <w:numFmt w:val="japaneseCounting"/>
      <w:lvlText w:val="%1、"/>
      <w:lvlJc w:val="left"/>
      <w:pPr>
        <w:ind w:left="750" w:hanging="7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nsid w:val="00000014"/>
    <w:multiLevelType w:val="multilevel"/>
    <w:tmpl w:val="00000014"/>
    <w:lvl w:ilvl="0" w:tentative="1">
      <w:start w:val="1"/>
      <w:numFmt w:val="decimal"/>
      <w:pStyle w:val="101"/>
      <w:suff w:val="nothing"/>
      <w:lvlText w:val="图%1　"/>
      <w:lvlJc w:val="left"/>
      <w:pPr>
        <w:ind w:left="284"/>
      </w:pPr>
      <w:rPr>
        <w:rFonts w:hint="eastAsia" w:ascii="黑体" w:hAnsi="Times New Roman" w:eastAsia="黑体"/>
        <w:b w:val="0"/>
        <w:bCs w:val="0"/>
        <w:i w:val="0"/>
        <w:iCs w:val="0"/>
        <w:sz w:val="21"/>
        <w:szCs w:val="21"/>
      </w:rPr>
    </w:lvl>
    <w:lvl w:ilvl="1" w:tentative="1">
      <w:start w:val="1"/>
      <w:numFmt w:val="decimal"/>
      <w:suff w:val="nothing"/>
      <w:lvlText w:val="%1%2　"/>
      <w:lvlJc w:val="left"/>
      <w:pPr>
        <w:ind w:left="284"/>
      </w:pPr>
      <w:rPr>
        <w:rFonts w:hint="default" w:ascii="Times New Roman" w:hAnsi="Times New Roman" w:eastAsia="黑体"/>
        <w:b w:val="0"/>
        <w:bCs w:val="0"/>
        <w:i w:val="0"/>
        <w:iCs w:val="0"/>
        <w:sz w:val="21"/>
        <w:szCs w:val="21"/>
      </w:rPr>
    </w:lvl>
    <w:lvl w:ilvl="2" w:tentative="1">
      <w:start w:val="1"/>
      <w:numFmt w:val="decimal"/>
      <w:suff w:val="nothing"/>
      <w:lvlText w:val="%1%2.%3　"/>
      <w:lvlJc w:val="left"/>
      <w:pPr>
        <w:ind w:left="284"/>
      </w:pPr>
      <w:rPr>
        <w:rFonts w:hint="default" w:ascii="Times New Roman" w:hAnsi="Times New Roman" w:eastAsia="黑体"/>
        <w:b w:val="0"/>
        <w:bCs w:val="0"/>
        <w:i w:val="0"/>
        <w:iCs w:val="0"/>
        <w:sz w:val="21"/>
        <w:szCs w:val="21"/>
      </w:rPr>
    </w:lvl>
    <w:lvl w:ilvl="3" w:tentative="1">
      <w:start w:val="1"/>
      <w:numFmt w:val="decimal"/>
      <w:suff w:val="nothing"/>
      <w:lvlText w:val="%1%2.%3.%4　"/>
      <w:lvlJc w:val="left"/>
      <w:pPr>
        <w:ind w:left="284"/>
      </w:pPr>
      <w:rPr>
        <w:rFonts w:hint="default" w:ascii="Times New Roman" w:hAnsi="Times New Roman" w:eastAsia="黑体"/>
        <w:b w:val="0"/>
        <w:bCs w:val="0"/>
        <w:i w:val="0"/>
        <w:iCs w:val="0"/>
        <w:sz w:val="21"/>
        <w:szCs w:val="21"/>
      </w:rPr>
    </w:lvl>
    <w:lvl w:ilvl="4" w:tentative="1">
      <w:start w:val="1"/>
      <w:numFmt w:val="decimal"/>
      <w:suff w:val="nothing"/>
      <w:lvlText w:val="%1%2.%3.%4.%5　"/>
      <w:lvlJc w:val="left"/>
      <w:pPr>
        <w:ind w:left="284"/>
      </w:pPr>
      <w:rPr>
        <w:rFonts w:hint="default" w:ascii="Times New Roman" w:hAnsi="Times New Roman" w:eastAsia="黑体"/>
        <w:b w:val="0"/>
        <w:bCs w:val="0"/>
        <w:i w:val="0"/>
        <w:iCs w:val="0"/>
        <w:sz w:val="21"/>
        <w:szCs w:val="21"/>
      </w:rPr>
    </w:lvl>
    <w:lvl w:ilvl="5" w:tentative="1">
      <w:start w:val="1"/>
      <w:numFmt w:val="decimal"/>
      <w:suff w:val="nothing"/>
      <w:lvlText w:val="%1%2.%3.%4.%5.%6　"/>
      <w:lvlJc w:val="left"/>
      <w:pPr>
        <w:ind w:left="284"/>
      </w:pPr>
      <w:rPr>
        <w:rFonts w:hint="default" w:ascii="Times New Roman" w:hAnsi="Times New Roman" w:eastAsia="黑体"/>
        <w:b w:val="0"/>
        <w:bCs w:val="0"/>
        <w:i w:val="0"/>
        <w:iCs w:val="0"/>
        <w:sz w:val="21"/>
        <w:szCs w:val="21"/>
      </w:rPr>
    </w:lvl>
    <w:lvl w:ilvl="6" w:tentative="1">
      <w:start w:val="1"/>
      <w:numFmt w:val="decimal"/>
      <w:suff w:val="nothing"/>
      <w:lvlText w:val="%1%2.%3.%4.%5.%6.%7　"/>
      <w:lvlJc w:val="left"/>
      <w:pPr>
        <w:ind w:left="284"/>
      </w:pPr>
      <w:rPr>
        <w:rFonts w:hint="default" w:ascii="Times New Roman" w:hAnsi="Times New Roman" w:eastAsia="黑体"/>
        <w:b w:val="0"/>
        <w:bCs w:val="0"/>
        <w:i w:val="0"/>
        <w:iCs w:val="0"/>
        <w:sz w:val="21"/>
        <w:szCs w:val="21"/>
      </w:rPr>
    </w:lvl>
    <w:lvl w:ilvl="7" w:tentative="1">
      <w:start w:val="1"/>
      <w:numFmt w:val="decimal"/>
      <w:lvlText w:val="%1.%2.%3.%4.%5.%6.%7.%8"/>
      <w:lvlJc w:val="left"/>
      <w:pPr>
        <w:tabs>
          <w:tab w:val="left" w:pos="4635"/>
        </w:tabs>
        <w:ind w:left="4253" w:hanging="1418"/>
      </w:pPr>
      <w:rPr>
        <w:rFonts w:hint="eastAsia"/>
      </w:rPr>
    </w:lvl>
    <w:lvl w:ilvl="8" w:tentative="1">
      <w:start w:val="1"/>
      <w:numFmt w:val="decimal"/>
      <w:lvlText w:val="%1.%2.%3.%4.%5.%6.%7.%8.%9"/>
      <w:lvlJc w:val="left"/>
      <w:pPr>
        <w:tabs>
          <w:tab w:val="left" w:pos="5061"/>
        </w:tabs>
        <w:ind w:left="4961" w:hanging="1700"/>
      </w:pPr>
      <w:rPr>
        <w:rFonts w:hint="eastAsia"/>
      </w:rPr>
    </w:lvl>
  </w:abstractNum>
  <w:num w:numId="1">
    <w:abstractNumId w:val="20"/>
  </w:num>
  <w:num w:numId="2">
    <w:abstractNumId w:val="21158308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doNotShadeFormData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0B5A"/>
    <w:rsid w:val="000011B8"/>
    <w:rsid w:val="00006CA4"/>
    <w:rsid w:val="00007D9C"/>
    <w:rsid w:val="00010859"/>
    <w:rsid w:val="00012F33"/>
    <w:rsid w:val="00013027"/>
    <w:rsid w:val="00015353"/>
    <w:rsid w:val="000156F4"/>
    <w:rsid w:val="00016AE5"/>
    <w:rsid w:val="00017D62"/>
    <w:rsid w:val="00020370"/>
    <w:rsid w:val="00023CF6"/>
    <w:rsid w:val="00027DEB"/>
    <w:rsid w:val="00030D04"/>
    <w:rsid w:val="00032DF9"/>
    <w:rsid w:val="00033897"/>
    <w:rsid w:val="00035ECB"/>
    <w:rsid w:val="00036E47"/>
    <w:rsid w:val="00037AA6"/>
    <w:rsid w:val="00041419"/>
    <w:rsid w:val="00041766"/>
    <w:rsid w:val="000425F3"/>
    <w:rsid w:val="0004393F"/>
    <w:rsid w:val="00043D7E"/>
    <w:rsid w:val="00044B31"/>
    <w:rsid w:val="00053E94"/>
    <w:rsid w:val="00055797"/>
    <w:rsid w:val="00055AFC"/>
    <w:rsid w:val="000568AF"/>
    <w:rsid w:val="000571BF"/>
    <w:rsid w:val="00062C7F"/>
    <w:rsid w:val="00064861"/>
    <w:rsid w:val="00067B89"/>
    <w:rsid w:val="0007035D"/>
    <w:rsid w:val="0007136E"/>
    <w:rsid w:val="00072AD0"/>
    <w:rsid w:val="00072E0E"/>
    <w:rsid w:val="00073A56"/>
    <w:rsid w:val="0007442D"/>
    <w:rsid w:val="00080AB4"/>
    <w:rsid w:val="0008125C"/>
    <w:rsid w:val="0008140C"/>
    <w:rsid w:val="000821D3"/>
    <w:rsid w:val="00082444"/>
    <w:rsid w:val="00082490"/>
    <w:rsid w:val="00082F97"/>
    <w:rsid w:val="00090508"/>
    <w:rsid w:val="000909C3"/>
    <w:rsid w:val="00091389"/>
    <w:rsid w:val="00093225"/>
    <w:rsid w:val="0009444A"/>
    <w:rsid w:val="00096506"/>
    <w:rsid w:val="000A0111"/>
    <w:rsid w:val="000A0610"/>
    <w:rsid w:val="000A0B39"/>
    <w:rsid w:val="000A0E62"/>
    <w:rsid w:val="000A2CA0"/>
    <w:rsid w:val="000A2DE0"/>
    <w:rsid w:val="000A3298"/>
    <w:rsid w:val="000B1617"/>
    <w:rsid w:val="000B270B"/>
    <w:rsid w:val="000B2DDE"/>
    <w:rsid w:val="000B2E84"/>
    <w:rsid w:val="000B3513"/>
    <w:rsid w:val="000B38EA"/>
    <w:rsid w:val="000B4A73"/>
    <w:rsid w:val="000B687C"/>
    <w:rsid w:val="000B79E5"/>
    <w:rsid w:val="000C171E"/>
    <w:rsid w:val="000C305A"/>
    <w:rsid w:val="000C4E04"/>
    <w:rsid w:val="000D088A"/>
    <w:rsid w:val="000D2826"/>
    <w:rsid w:val="000D3B61"/>
    <w:rsid w:val="000D3E37"/>
    <w:rsid w:val="000D4352"/>
    <w:rsid w:val="000D4BFF"/>
    <w:rsid w:val="000D6999"/>
    <w:rsid w:val="000D729F"/>
    <w:rsid w:val="000E1B60"/>
    <w:rsid w:val="000E78DC"/>
    <w:rsid w:val="000F0240"/>
    <w:rsid w:val="000F1E38"/>
    <w:rsid w:val="000F2B01"/>
    <w:rsid w:val="000F3D60"/>
    <w:rsid w:val="000F477E"/>
    <w:rsid w:val="000F5512"/>
    <w:rsid w:val="000F6BF2"/>
    <w:rsid w:val="000F77AD"/>
    <w:rsid w:val="000F77B7"/>
    <w:rsid w:val="00100418"/>
    <w:rsid w:val="00100D95"/>
    <w:rsid w:val="001037C3"/>
    <w:rsid w:val="00103EC2"/>
    <w:rsid w:val="001043D5"/>
    <w:rsid w:val="00104AAB"/>
    <w:rsid w:val="00104E8E"/>
    <w:rsid w:val="001052D7"/>
    <w:rsid w:val="001060DA"/>
    <w:rsid w:val="00106B74"/>
    <w:rsid w:val="00107667"/>
    <w:rsid w:val="001101E0"/>
    <w:rsid w:val="0011234F"/>
    <w:rsid w:val="00113625"/>
    <w:rsid w:val="0011515E"/>
    <w:rsid w:val="00115A37"/>
    <w:rsid w:val="00115F8B"/>
    <w:rsid w:val="00117173"/>
    <w:rsid w:val="00117521"/>
    <w:rsid w:val="00117B1F"/>
    <w:rsid w:val="00117B9C"/>
    <w:rsid w:val="00121030"/>
    <w:rsid w:val="0012219D"/>
    <w:rsid w:val="00122EBA"/>
    <w:rsid w:val="001244F2"/>
    <w:rsid w:val="001263A8"/>
    <w:rsid w:val="0013276D"/>
    <w:rsid w:val="00132EA9"/>
    <w:rsid w:val="001330C7"/>
    <w:rsid w:val="00133817"/>
    <w:rsid w:val="001365FE"/>
    <w:rsid w:val="0013757B"/>
    <w:rsid w:val="00140AF6"/>
    <w:rsid w:val="00141076"/>
    <w:rsid w:val="0014115A"/>
    <w:rsid w:val="00141CA3"/>
    <w:rsid w:val="00141EA2"/>
    <w:rsid w:val="00142716"/>
    <w:rsid w:val="0014271F"/>
    <w:rsid w:val="00143311"/>
    <w:rsid w:val="001438BA"/>
    <w:rsid w:val="00143A28"/>
    <w:rsid w:val="00144D3D"/>
    <w:rsid w:val="001454B3"/>
    <w:rsid w:val="001461C9"/>
    <w:rsid w:val="001500DE"/>
    <w:rsid w:val="00150862"/>
    <w:rsid w:val="00152580"/>
    <w:rsid w:val="001525C5"/>
    <w:rsid w:val="00154020"/>
    <w:rsid w:val="001542B5"/>
    <w:rsid w:val="00154490"/>
    <w:rsid w:val="001547C0"/>
    <w:rsid w:val="0015514A"/>
    <w:rsid w:val="001558B8"/>
    <w:rsid w:val="00156322"/>
    <w:rsid w:val="0015665F"/>
    <w:rsid w:val="001613AA"/>
    <w:rsid w:val="00161C00"/>
    <w:rsid w:val="00162E52"/>
    <w:rsid w:val="00163412"/>
    <w:rsid w:val="001645B0"/>
    <w:rsid w:val="00164F24"/>
    <w:rsid w:val="00164F70"/>
    <w:rsid w:val="00166F89"/>
    <w:rsid w:val="0017001E"/>
    <w:rsid w:val="001722EA"/>
    <w:rsid w:val="00172A27"/>
    <w:rsid w:val="00172DB9"/>
    <w:rsid w:val="001736E3"/>
    <w:rsid w:val="00173FB4"/>
    <w:rsid w:val="00174147"/>
    <w:rsid w:val="0017447E"/>
    <w:rsid w:val="00176C1D"/>
    <w:rsid w:val="00177E01"/>
    <w:rsid w:val="00177F57"/>
    <w:rsid w:val="001801F8"/>
    <w:rsid w:val="001803A2"/>
    <w:rsid w:val="00181222"/>
    <w:rsid w:val="001844E9"/>
    <w:rsid w:val="00184F4C"/>
    <w:rsid w:val="0019138A"/>
    <w:rsid w:val="001917F0"/>
    <w:rsid w:val="001948CF"/>
    <w:rsid w:val="00195FB9"/>
    <w:rsid w:val="001960BF"/>
    <w:rsid w:val="001A0C0E"/>
    <w:rsid w:val="001A1490"/>
    <w:rsid w:val="001A1860"/>
    <w:rsid w:val="001A1BB2"/>
    <w:rsid w:val="001A2009"/>
    <w:rsid w:val="001A2CC6"/>
    <w:rsid w:val="001A3203"/>
    <w:rsid w:val="001A524B"/>
    <w:rsid w:val="001A5475"/>
    <w:rsid w:val="001A5C3E"/>
    <w:rsid w:val="001A7FE2"/>
    <w:rsid w:val="001B13B6"/>
    <w:rsid w:val="001B201D"/>
    <w:rsid w:val="001B2120"/>
    <w:rsid w:val="001B30BF"/>
    <w:rsid w:val="001B4D41"/>
    <w:rsid w:val="001B4D46"/>
    <w:rsid w:val="001B60E5"/>
    <w:rsid w:val="001B6999"/>
    <w:rsid w:val="001B6B25"/>
    <w:rsid w:val="001C026C"/>
    <w:rsid w:val="001C112B"/>
    <w:rsid w:val="001C195F"/>
    <w:rsid w:val="001C3C23"/>
    <w:rsid w:val="001C4846"/>
    <w:rsid w:val="001C5DF8"/>
    <w:rsid w:val="001C728A"/>
    <w:rsid w:val="001D025B"/>
    <w:rsid w:val="001D0A43"/>
    <w:rsid w:val="001D0C01"/>
    <w:rsid w:val="001D251F"/>
    <w:rsid w:val="001D25EB"/>
    <w:rsid w:val="001D2FAA"/>
    <w:rsid w:val="001D318F"/>
    <w:rsid w:val="001D3FC3"/>
    <w:rsid w:val="001D43C4"/>
    <w:rsid w:val="001D45FA"/>
    <w:rsid w:val="001D5F4A"/>
    <w:rsid w:val="001D70E5"/>
    <w:rsid w:val="001D745A"/>
    <w:rsid w:val="001E1CAF"/>
    <w:rsid w:val="001E3281"/>
    <w:rsid w:val="001E44D8"/>
    <w:rsid w:val="001E4580"/>
    <w:rsid w:val="001E592D"/>
    <w:rsid w:val="001E6CFA"/>
    <w:rsid w:val="001F0101"/>
    <w:rsid w:val="001F0592"/>
    <w:rsid w:val="001F3B4F"/>
    <w:rsid w:val="001F4608"/>
    <w:rsid w:val="001F60D3"/>
    <w:rsid w:val="001F6438"/>
    <w:rsid w:val="0020020D"/>
    <w:rsid w:val="00200E73"/>
    <w:rsid w:val="00203E7D"/>
    <w:rsid w:val="00204847"/>
    <w:rsid w:val="00204E5A"/>
    <w:rsid w:val="00206908"/>
    <w:rsid w:val="00211928"/>
    <w:rsid w:val="00211F12"/>
    <w:rsid w:val="00211F79"/>
    <w:rsid w:val="00217DC9"/>
    <w:rsid w:val="002216E0"/>
    <w:rsid w:val="002219B5"/>
    <w:rsid w:val="00221BD6"/>
    <w:rsid w:val="00221CF8"/>
    <w:rsid w:val="0022284E"/>
    <w:rsid w:val="002250DE"/>
    <w:rsid w:val="002279CF"/>
    <w:rsid w:val="00227F7A"/>
    <w:rsid w:val="002311BD"/>
    <w:rsid w:val="0023265E"/>
    <w:rsid w:val="00233601"/>
    <w:rsid w:val="00236709"/>
    <w:rsid w:val="00236DC0"/>
    <w:rsid w:val="002403DC"/>
    <w:rsid w:val="00240CC5"/>
    <w:rsid w:val="00240F36"/>
    <w:rsid w:val="00241056"/>
    <w:rsid w:val="002423FD"/>
    <w:rsid w:val="00242B58"/>
    <w:rsid w:val="00245889"/>
    <w:rsid w:val="00247950"/>
    <w:rsid w:val="00252822"/>
    <w:rsid w:val="00252B24"/>
    <w:rsid w:val="00252E30"/>
    <w:rsid w:val="00253275"/>
    <w:rsid w:val="00253CF4"/>
    <w:rsid w:val="00255D1D"/>
    <w:rsid w:val="0025616A"/>
    <w:rsid w:val="002606BD"/>
    <w:rsid w:val="002622EC"/>
    <w:rsid w:val="00262D9A"/>
    <w:rsid w:val="00265008"/>
    <w:rsid w:val="00266244"/>
    <w:rsid w:val="00266EC0"/>
    <w:rsid w:val="00267E2F"/>
    <w:rsid w:val="00267F91"/>
    <w:rsid w:val="00270F64"/>
    <w:rsid w:val="00271A38"/>
    <w:rsid w:val="00272AE7"/>
    <w:rsid w:val="00273A2D"/>
    <w:rsid w:val="00274CCC"/>
    <w:rsid w:val="00276BD4"/>
    <w:rsid w:val="00277148"/>
    <w:rsid w:val="0027731E"/>
    <w:rsid w:val="00277B3F"/>
    <w:rsid w:val="002801A7"/>
    <w:rsid w:val="002805C8"/>
    <w:rsid w:val="00283170"/>
    <w:rsid w:val="00286B64"/>
    <w:rsid w:val="00287ECC"/>
    <w:rsid w:val="002917CD"/>
    <w:rsid w:val="00295231"/>
    <w:rsid w:val="0029551C"/>
    <w:rsid w:val="00297D45"/>
    <w:rsid w:val="002A26CD"/>
    <w:rsid w:val="002A31C0"/>
    <w:rsid w:val="002A3A24"/>
    <w:rsid w:val="002A4DCC"/>
    <w:rsid w:val="002A5DAB"/>
    <w:rsid w:val="002B0230"/>
    <w:rsid w:val="002B03D7"/>
    <w:rsid w:val="002B0405"/>
    <w:rsid w:val="002B1D10"/>
    <w:rsid w:val="002B241F"/>
    <w:rsid w:val="002B4CE1"/>
    <w:rsid w:val="002B66A7"/>
    <w:rsid w:val="002C2187"/>
    <w:rsid w:val="002C26B4"/>
    <w:rsid w:val="002C2940"/>
    <w:rsid w:val="002C2D21"/>
    <w:rsid w:val="002C50B5"/>
    <w:rsid w:val="002C6AD3"/>
    <w:rsid w:val="002C6EE6"/>
    <w:rsid w:val="002C7877"/>
    <w:rsid w:val="002D21C9"/>
    <w:rsid w:val="002D2C1C"/>
    <w:rsid w:val="002D3672"/>
    <w:rsid w:val="002D44B4"/>
    <w:rsid w:val="002D6080"/>
    <w:rsid w:val="002D6223"/>
    <w:rsid w:val="002D6A97"/>
    <w:rsid w:val="002D756B"/>
    <w:rsid w:val="002E1DDF"/>
    <w:rsid w:val="002E386A"/>
    <w:rsid w:val="002E7E4C"/>
    <w:rsid w:val="002F1AA8"/>
    <w:rsid w:val="002F549F"/>
    <w:rsid w:val="002F5B60"/>
    <w:rsid w:val="002F693D"/>
    <w:rsid w:val="002F7695"/>
    <w:rsid w:val="00300E6E"/>
    <w:rsid w:val="0030163E"/>
    <w:rsid w:val="0030562D"/>
    <w:rsid w:val="00305959"/>
    <w:rsid w:val="0030675A"/>
    <w:rsid w:val="00307853"/>
    <w:rsid w:val="00307DEC"/>
    <w:rsid w:val="00307FF7"/>
    <w:rsid w:val="00310A62"/>
    <w:rsid w:val="00313437"/>
    <w:rsid w:val="0031551C"/>
    <w:rsid w:val="00320C60"/>
    <w:rsid w:val="00321189"/>
    <w:rsid w:val="0032291F"/>
    <w:rsid w:val="00323D8A"/>
    <w:rsid w:val="00324658"/>
    <w:rsid w:val="00324A8A"/>
    <w:rsid w:val="00326823"/>
    <w:rsid w:val="00327D44"/>
    <w:rsid w:val="003303C2"/>
    <w:rsid w:val="00330E83"/>
    <w:rsid w:val="003324CD"/>
    <w:rsid w:val="0033547F"/>
    <w:rsid w:val="003357AA"/>
    <w:rsid w:val="003362D9"/>
    <w:rsid w:val="00336A76"/>
    <w:rsid w:val="00337022"/>
    <w:rsid w:val="00341397"/>
    <w:rsid w:val="00342851"/>
    <w:rsid w:val="0034297D"/>
    <w:rsid w:val="00346ECE"/>
    <w:rsid w:val="00347608"/>
    <w:rsid w:val="00351384"/>
    <w:rsid w:val="00351646"/>
    <w:rsid w:val="00352B8D"/>
    <w:rsid w:val="00354810"/>
    <w:rsid w:val="00362654"/>
    <w:rsid w:val="00362A73"/>
    <w:rsid w:val="00362E1E"/>
    <w:rsid w:val="00363809"/>
    <w:rsid w:val="00363A25"/>
    <w:rsid w:val="00365375"/>
    <w:rsid w:val="00365996"/>
    <w:rsid w:val="003661B6"/>
    <w:rsid w:val="00366F34"/>
    <w:rsid w:val="00367862"/>
    <w:rsid w:val="0037076C"/>
    <w:rsid w:val="00372256"/>
    <w:rsid w:val="00372E96"/>
    <w:rsid w:val="00373191"/>
    <w:rsid w:val="00377D6A"/>
    <w:rsid w:val="00382484"/>
    <w:rsid w:val="00384349"/>
    <w:rsid w:val="0038785F"/>
    <w:rsid w:val="00387A94"/>
    <w:rsid w:val="00390A76"/>
    <w:rsid w:val="003910CB"/>
    <w:rsid w:val="00392BCA"/>
    <w:rsid w:val="00392FE4"/>
    <w:rsid w:val="00393523"/>
    <w:rsid w:val="00395E7F"/>
    <w:rsid w:val="003A01C0"/>
    <w:rsid w:val="003A0FC8"/>
    <w:rsid w:val="003A18C5"/>
    <w:rsid w:val="003A33DC"/>
    <w:rsid w:val="003A492B"/>
    <w:rsid w:val="003A4A43"/>
    <w:rsid w:val="003B0EDE"/>
    <w:rsid w:val="003B0F8B"/>
    <w:rsid w:val="003B2287"/>
    <w:rsid w:val="003B2546"/>
    <w:rsid w:val="003B2945"/>
    <w:rsid w:val="003B3CCC"/>
    <w:rsid w:val="003B47EF"/>
    <w:rsid w:val="003B4F5B"/>
    <w:rsid w:val="003B541C"/>
    <w:rsid w:val="003B5F31"/>
    <w:rsid w:val="003B6337"/>
    <w:rsid w:val="003C1B82"/>
    <w:rsid w:val="003C3567"/>
    <w:rsid w:val="003C3B49"/>
    <w:rsid w:val="003C3C77"/>
    <w:rsid w:val="003C4135"/>
    <w:rsid w:val="003C5939"/>
    <w:rsid w:val="003C722A"/>
    <w:rsid w:val="003D1E79"/>
    <w:rsid w:val="003D2BC6"/>
    <w:rsid w:val="003D5DD4"/>
    <w:rsid w:val="003D5ECB"/>
    <w:rsid w:val="003E00AF"/>
    <w:rsid w:val="003E15AA"/>
    <w:rsid w:val="003E1F80"/>
    <w:rsid w:val="003E24A2"/>
    <w:rsid w:val="003E3B39"/>
    <w:rsid w:val="003E3FB6"/>
    <w:rsid w:val="003E40FC"/>
    <w:rsid w:val="003E4155"/>
    <w:rsid w:val="003E57C5"/>
    <w:rsid w:val="003E798D"/>
    <w:rsid w:val="003F0C09"/>
    <w:rsid w:val="003F25EB"/>
    <w:rsid w:val="003F4C86"/>
    <w:rsid w:val="003F516A"/>
    <w:rsid w:val="003F5841"/>
    <w:rsid w:val="003F63F1"/>
    <w:rsid w:val="003F696D"/>
    <w:rsid w:val="004009C5"/>
    <w:rsid w:val="004010D3"/>
    <w:rsid w:val="00401C3D"/>
    <w:rsid w:val="004021AF"/>
    <w:rsid w:val="00402891"/>
    <w:rsid w:val="00404D43"/>
    <w:rsid w:val="00405BEB"/>
    <w:rsid w:val="004075DD"/>
    <w:rsid w:val="00407FE8"/>
    <w:rsid w:val="0041031C"/>
    <w:rsid w:val="00411AC3"/>
    <w:rsid w:val="00413059"/>
    <w:rsid w:val="00415118"/>
    <w:rsid w:val="00416B26"/>
    <w:rsid w:val="00420EA9"/>
    <w:rsid w:val="00421497"/>
    <w:rsid w:val="0042379A"/>
    <w:rsid w:val="00423BBD"/>
    <w:rsid w:val="00424BD8"/>
    <w:rsid w:val="004250A9"/>
    <w:rsid w:val="004258FE"/>
    <w:rsid w:val="00430A76"/>
    <w:rsid w:val="00430B21"/>
    <w:rsid w:val="0043264B"/>
    <w:rsid w:val="00433CE1"/>
    <w:rsid w:val="00435413"/>
    <w:rsid w:val="00435998"/>
    <w:rsid w:val="00436172"/>
    <w:rsid w:val="00436D94"/>
    <w:rsid w:val="00441B85"/>
    <w:rsid w:val="00441DE2"/>
    <w:rsid w:val="00443CFC"/>
    <w:rsid w:val="004441CB"/>
    <w:rsid w:val="0044475E"/>
    <w:rsid w:val="004453F6"/>
    <w:rsid w:val="004457FD"/>
    <w:rsid w:val="00447F5D"/>
    <w:rsid w:val="00452898"/>
    <w:rsid w:val="00455C98"/>
    <w:rsid w:val="00460308"/>
    <w:rsid w:val="00463C33"/>
    <w:rsid w:val="00465F93"/>
    <w:rsid w:val="00466A9A"/>
    <w:rsid w:val="00467352"/>
    <w:rsid w:val="0047110B"/>
    <w:rsid w:val="00473DC1"/>
    <w:rsid w:val="00474654"/>
    <w:rsid w:val="004759A2"/>
    <w:rsid w:val="00475EE9"/>
    <w:rsid w:val="00477632"/>
    <w:rsid w:val="00481CBB"/>
    <w:rsid w:val="00483FC8"/>
    <w:rsid w:val="00486E69"/>
    <w:rsid w:val="00490D61"/>
    <w:rsid w:val="00492401"/>
    <w:rsid w:val="00493218"/>
    <w:rsid w:val="00493755"/>
    <w:rsid w:val="00495680"/>
    <w:rsid w:val="004959CF"/>
    <w:rsid w:val="00497F13"/>
    <w:rsid w:val="004A0F2E"/>
    <w:rsid w:val="004A1BFB"/>
    <w:rsid w:val="004A22FE"/>
    <w:rsid w:val="004A4CD4"/>
    <w:rsid w:val="004A64E1"/>
    <w:rsid w:val="004A704F"/>
    <w:rsid w:val="004A72DE"/>
    <w:rsid w:val="004A7458"/>
    <w:rsid w:val="004B0E3E"/>
    <w:rsid w:val="004B1119"/>
    <w:rsid w:val="004B1F47"/>
    <w:rsid w:val="004B332B"/>
    <w:rsid w:val="004B56FA"/>
    <w:rsid w:val="004C1714"/>
    <w:rsid w:val="004C18F6"/>
    <w:rsid w:val="004C1B78"/>
    <w:rsid w:val="004C34BC"/>
    <w:rsid w:val="004C4441"/>
    <w:rsid w:val="004C749A"/>
    <w:rsid w:val="004D04E2"/>
    <w:rsid w:val="004D0A57"/>
    <w:rsid w:val="004D1350"/>
    <w:rsid w:val="004D160A"/>
    <w:rsid w:val="004D2D6F"/>
    <w:rsid w:val="004D56CF"/>
    <w:rsid w:val="004D59EE"/>
    <w:rsid w:val="004D6659"/>
    <w:rsid w:val="004E099C"/>
    <w:rsid w:val="004E1447"/>
    <w:rsid w:val="004E2690"/>
    <w:rsid w:val="004E382B"/>
    <w:rsid w:val="004E53E0"/>
    <w:rsid w:val="004E5979"/>
    <w:rsid w:val="004E6C2B"/>
    <w:rsid w:val="004E77D7"/>
    <w:rsid w:val="004F3BF4"/>
    <w:rsid w:val="004F4647"/>
    <w:rsid w:val="004F73F5"/>
    <w:rsid w:val="00500514"/>
    <w:rsid w:val="005030FE"/>
    <w:rsid w:val="005033D8"/>
    <w:rsid w:val="005035C6"/>
    <w:rsid w:val="00503AF3"/>
    <w:rsid w:val="005040E4"/>
    <w:rsid w:val="00505AC4"/>
    <w:rsid w:val="0050785C"/>
    <w:rsid w:val="00510153"/>
    <w:rsid w:val="005127DF"/>
    <w:rsid w:val="00512F6F"/>
    <w:rsid w:val="005133B0"/>
    <w:rsid w:val="005134A2"/>
    <w:rsid w:val="005135E5"/>
    <w:rsid w:val="00514E45"/>
    <w:rsid w:val="0051551A"/>
    <w:rsid w:val="00515CF0"/>
    <w:rsid w:val="00520F57"/>
    <w:rsid w:val="00521B48"/>
    <w:rsid w:val="005238F6"/>
    <w:rsid w:val="005269EA"/>
    <w:rsid w:val="00533C70"/>
    <w:rsid w:val="0053443D"/>
    <w:rsid w:val="0053496F"/>
    <w:rsid w:val="005370FC"/>
    <w:rsid w:val="005377AE"/>
    <w:rsid w:val="00537804"/>
    <w:rsid w:val="00537910"/>
    <w:rsid w:val="00540D67"/>
    <w:rsid w:val="00540D6A"/>
    <w:rsid w:val="005417A4"/>
    <w:rsid w:val="00542D65"/>
    <w:rsid w:val="00544CB1"/>
    <w:rsid w:val="00545887"/>
    <w:rsid w:val="00545B5F"/>
    <w:rsid w:val="00547220"/>
    <w:rsid w:val="005518AD"/>
    <w:rsid w:val="0055355C"/>
    <w:rsid w:val="005536B8"/>
    <w:rsid w:val="00555958"/>
    <w:rsid w:val="00560697"/>
    <w:rsid w:val="0056292D"/>
    <w:rsid w:val="00562995"/>
    <w:rsid w:val="00564FB1"/>
    <w:rsid w:val="00565206"/>
    <w:rsid w:val="00565BEE"/>
    <w:rsid w:val="0056771A"/>
    <w:rsid w:val="005704BB"/>
    <w:rsid w:val="005709FD"/>
    <w:rsid w:val="00574224"/>
    <w:rsid w:val="0057463B"/>
    <w:rsid w:val="00574A9A"/>
    <w:rsid w:val="00577204"/>
    <w:rsid w:val="00581DE4"/>
    <w:rsid w:val="00583822"/>
    <w:rsid w:val="00585670"/>
    <w:rsid w:val="005858B5"/>
    <w:rsid w:val="00585A74"/>
    <w:rsid w:val="00585FA3"/>
    <w:rsid w:val="00590B65"/>
    <w:rsid w:val="00594DEF"/>
    <w:rsid w:val="00595361"/>
    <w:rsid w:val="0059562F"/>
    <w:rsid w:val="005978EC"/>
    <w:rsid w:val="005A2D00"/>
    <w:rsid w:val="005A2F7D"/>
    <w:rsid w:val="005A3A7B"/>
    <w:rsid w:val="005A5A2D"/>
    <w:rsid w:val="005A5CE0"/>
    <w:rsid w:val="005A6997"/>
    <w:rsid w:val="005A78C8"/>
    <w:rsid w:val="005B073A"/>
    <w:rsid w:val="005B0C38"/>
    <w:rsid w:val="005B0FD7"/>
    <w:rsid w:val="005B20A3"/>
    <w:rsid w:val="005B347F"/>
    <w:rsid w:val="005B5119"/>
    <w:rsid w:val="005B6156"/>
    <w:rsid w:val="005B7B24"/>
    <w:rsid w:val="005C0129"/>
    <w:rsid w:val="005C0957"/>
    <w:rsid w:val="005C2744"/>
    <w:rsid w:val="005C2CE1"/>
    <w:rsid w:val="005C486F"/>
    <w:rsid w:val="005C4D28"/>
    <w:rsid w:val="005C5709"/>
    <w:rsid w:val="005C6B25"/>
    <w:rsid w:val="005C7D71"/>
    <w:rsid w:val="005D42A2"/>
    <w:rsid w:val="005D442D"/>
    <w:rsid w:val="005D5CF7"/>
    <w:rsid w:val="005D6BA6"/>
    <w:rsid w:val="005E0443"/>
    <w:rsid w:val="005E23DD"/>
    <w:rsid w:val="005E2DE0"/>
    <w:rsid w:val="005E47D4"/>
    <w:rsid w:val="005E51BD"/>
    <w:rsid w:val="005E6646"/>
    <w:rsid w:val="005E7FD1"/>
    <w:rsid w:val="005F0693"/>
    <w:rsid w:val="005F0B53"/>
    <w:rsid w:val="005F193B"/>
    <w:rsid w:val="005F3D05"/>
    <w:rsid w:val="005F5184"/>
    <w:rsid w:val="005F5542"/>
    <w:rsid w:val="005F5BA4"/>
    <w:rsid w:val="005F6B1E"/>
    <w:rsid w:val="0060036F"/>
    <w:rsid w:val="00600850"/>
    <w:rsid w:val="006008C6"/>
    <w:rsid w:val="00601DB3"/>
    <w:rsid w:val="006041E9"/>
    <w:rsid w:val="00604FA1"/>
    <w:rsid w:val="006058B3"/>
    <w:rsid w:val="00605B81"/>
    <w:rsid w:val="006067CB"/>
    <w:rsid w:val="006071B6"/>
    <w:rsid w:val="00610FC5"/>
    <w:rsid w:val="00616CDD"/>
    <w:rsid w:val="0062010A"/>
    <w:rsid w:val="00620D59"/>
    <w:rsid w:val="00621D70"/>
    <w:rsid w:val="00622858"/>
    <w:rsid w:val="00624018"/>
    <w:rsid w:val="0062412D"/>
    <w:rsid w:val="00625CE4"/>
    <w:rsid w:val="00625F28"/>
    <w:rsid w:val="00627346"/>
    <w:rsid w:val="00633848"/>
    <w:rsid w:val="00633C94"/>
    <w:rsid w:val="00634AAB"/>
    <w:rsid w:val="006379CF"/>
    <w:rsid w:val="00640194"/>
    <w:rsid w:val="006406FC"/>
    <w:rsid w:val="00640DE7"/>
    <w:rsid w:val="00641F22"/>
    <w:rsid w:val="006439FD"/>
    <w:rsid w:val="00645B2C"/>
    <w:rsid w:val="006524FA"/>
    <w:rsid w:val="006535FF"/>
    <w:rsid w:val="006536AD"/>
    <w:rsid w:val="006557C1"/>
    <w:rsid w:val="00656A9C"/>
    <w:rsid w:val="00661F39"/>
    <w:rsid w:val="006624DA"/>
    <w:rsid w:val="0066291A"/>
    <w:rsid w:val="00662EDF"/>
    <w:rsid w:val="0066363F"/>
    <w:rsid w:val="00664128"/>
    <w:rsid w:val="00665F54"/>
    <w:rsid w:val="0066784E"/>
    <w:rsid w:val="00671CF3"/>
    <w:rsid w:val="00672654"/>
    <w:rsid w:val="00673D6D"/>
    <w:rsid w:val="00676097"/>
    <w:rsid w:val="0067628C"/>
    <w:rsid w:val="00680A99"/>
    <w:rsid w:val="00681E5B"/>
    <w:rsid w:val="00682145"/>
    <w:rsid w:val="00684615"/>
    <w:rsid w:val="0068477E"/>
    <w:rsid w:val="00685629"/>
    <w:rsid w:val="00691DF4"/>
    <w:rsid w:val="00692023"/>
    <w:rsid w:val="00694F25"/>
    <w:rsid w:val="006951D5"/>
    <w:rsid w:val="00697002"/>
    <w:rsid w:val="006A1D0E"/>
    <w:rsid w:val="006A1D15"/>
    <w:rsid w:val="006A1F3D"/>
    <w:rsid w:val="006A6906"/>
    <w:rsid w:val="006A7E29"/>
    <w:rsid w:val="006B011A"/>
    <w:rsid w:val="006B32FB"/>
    <w:rsid w:val="006B4338"/>
    <w:rsid w:val="006B5519"/>
    <w:rsid w:val="006B6691"/>
    <w:rsid w:val="006B6A99"/>
    <w:rsid w:val="006B6CB0"/>
    <w:rsid w:val="006B7660"/>
    <w:rsid w:val="006C19C2"/>
    <w:rsid w:val="006C1C7F"/>
    <w:rsid w:val="006C3154"/>
    <w:rsid w:val="006C426A"/>
    <w:rsid w:val="006C43D0"/>
    <w:rsid w:val="006C4E88"/>
    <w:rsid w:val="006C5043"/>
    <w:rsid w:val="006C5656"/>
    <w:rsid w:val="006C664A"/>
    <w:rsid w:val="006C6B42"/>
    <w:rsid w:val="006C7E26"/>
    <w:rsid w:val="006D2A1C"/>
    <w:rsid w:val="006D314B"/>
    <w:rsid w:val="006D4800"/>
    <w:rsid w:val="006D57A7"/>
    <w:rsid w:val="006D5BCD"/>
    <w:rsid w:val="006D6A91"/>
    <w:rsid w:val="006D71F6"/>
    <w:rsid w:val="006D72F7"/>
    <w:rsid w:val="006D77FA"/>
    <w:rsid w:val="006E00F4"/>
    <w:rsid w:val="006E0E28"/>
    <w:rsid w:val="006E1345"/>
    <w:rsid w:val="006E1B75"/>
    <w:rsid w:val="006E223D"/>
    <w:rsid w:val="006E25E5"/>
    <w:rsid w:val="006E3FDE"/>
    <w:rsid w:val="006E411E"/>
    <w:rsid w:val="006E5E77"/>
    <w:rsid w:val="006E6284"/>
    <w:rsid w:val="006F34E6"/>
    <w:rsid w:val="006F3506"/>
    <w:rsid w:val="006F5990"/>
    <w:rsid w:val="006F648C"/>
    <w:rsid w:val="006F65CE"/>
    <w:rsid w:val="006F7709"/>
    <w:rsid w:val="006F7F3B"/>
    <w:rsid w:val="00700691"/>
    <w:rsid w:val="0070191D"/>
    <w:rsid w:val="00701BD1"/>
    <w:rsid w:val="0070283E"/>
    <w:rsid w:val="00702C80"/>
    <w:rsid w:val="0070333D"/>
    <w:rsid w:val="00704710"/>
    <w:rsid w:val="007053E1"/>
    <w:rsid w:val="0070560A"/>
    <w:rsid w:val="007064A8"/>
    <w:rsid w:val="007068C6"/>
    <w:rsid w:val="0070711B"/>
    <w:rsid w:val="00707293"/>
    <w:rsid w:val="00710483"/>
    <w:rsid w:val="00710FA5"/>
    <w:rsid w:val="00711AD6"/>
    <w:rsid w:val="00711BE8"/>
    <w:rsid w:val="00717926"/>
    <w:rsid w:val="00720042"/>
    <w:rsid w:val="0072276D"/>
    <w:rsid w:val="007252BF"/>
    <w:rsid w:val="00726F32"/>
    <w:rsid w:val="00727BB9"/>
    <w:rsid w:val="00732AAE"/>
    <w:rsid w:val="00733570"/>
    <w:rsid w:val="00734C08"/>
    <w:rsid w:val="00734D5E"/>
    <w:rsid w:val="0073562F"/>
    <w:rsid w:val="00741598"/>
    <w:rsid w:val="00742855"/>
    <w:rsid w:val="00742CD1"/>
    <w:rsid w:val="00743005"/>
    <w:rsid w:val="0074564B"/>
    <w:rsid w:val="00747EE5"/>
    <w:rsid w:val="00751FBA"/>
    <w:rsid w:val="00752969"/>
    <w:rsid w:val="00753A74"/>
    <w:rsid w:val="00754D70"/>
    <w:rsid w:val="00755307"/>
    <w:rsid w:val="007556B4"/>
    <w:rsid w:val="00755E9F"/>
    <w:rsid w:val="007565E1"/>
    <w:rsid w:val="00757465"/>
    <w:rsid w:val="007615D8"/>
    <w:rsid w:val="00764A54"/>
    <w:rsid w:val="00773F54"/>
    <w:rsid w:val="00774079"/>
    <w:rsid w:val="007754D8"/>
    <w:rsid w:val="00777B66"/>
    <w:rsid w:val="00777C76"/>
    <w:rsid w:val="00781404"/>
    <w:rsid w:val="00782A09"/>
    <w:rsid w:val="0078368A"/>
    <w:rsid w:val="00784A33"/>
    <w:rsid w:val="007873EA"/>
    <w:rsid w:val="00790761"/>
    <w:rsid w:val="0079529D"/>
    <w:rsid w:val="007A180E"/>
    <w:rsid w:val="007A1D04"/>
    <w:rsid w:val="007A1F48"/>
    <w:rsid w:val="007A23B6"/>
    <w:rsid w:val="007A3903"/>
    <w:rsid w:val="007A60E0"/>
    <w:rsid w:val="007A6789"/>
    <w:rsid w:val="007A68DC"/>
    <w:rsid w:val="007A7D22"/>
    <w:rsid w:val="007B04E7"/>
    <w:rsid w:val="007B06CE"/>
    <w:rsid w:val="007B0D4A"/>
    <w:rsid w:val="007B1BC6"/>
    <w:rsid w:val="007B2548"/>
    <w:rsid w:val="007B28CB"/>
    <w:rsid w:val="007B322D"/>
    <w:rsid w:val="007B35A5"/>
    <w:rsid w:val="007B372C"/>
    <w:rsid w:val="007B3D57"/>
    <w:rsid w:val="007B43FE"/>
    <w:rsid w:val="007B4917"/>
    <w:rsid w:val="007B5E77"/>
    <w:rsid w:val="007C2208"/>
    <w:rsid w:val="007C4559"/>
    <w:rsid w:val="007C5347"/>
    <w:rsid w:val="007C66A9"/>
    <w:rsid w:val="007D2F1B"/>
    <w:rsid w:val="007D4824"/>
    <w:rsid w:val="007D4FA2"/>
    <w:rsid w:val="007D631D"/>
    <w:rsid w:val="007D708F"/>
    <w:rsid w:val="007D7389"/>
    <w:rsid w:val="007D73B7"/>
    <w:rsid w:val="007D7B7E"/>
    <w:rsid w:val="007D7CB6"/>
    <w:rsid w:val="007E0D1F"/>
    <w:rsid w:val="007E1319"/>
    <w:rsid w:val="007E1E6A"/>
    <w:rsid w:val="007E29D5"/>
    <w:rsid w:val="007E49FD"/>
    <w:rsid w:val="007E576E"/>
    <w:rsid w:val="007E5A6D"/>
    <w:rsid w:val="007E65D9"/>
    <w:rsid w:val="007F0690"/>
    <w:rsid w:val="007F08D1"/>
    <w:rsid w:val="007F18DB"/>
    <w:rsid w:val="007F4312"/>
    <w:rsid w:val="007F5F2B"/>
    <w:rsid w:val="007F5F9D"/>
    <w:rsid w:val="008002AA"/>
    <w:rsid w:val="00803E66"/>
    <w:rsid w:val="0080412C"/>
    <w:rsid w:val="00804F24"/>
    <w:rsid w:val="00810380"/>
    <w:rsid w:val="008112C1"/>
    <w:rsid w:val="00811880"/>
    <w:rsid w:val="008119E4"/>
    <w:rsid w:val="00812B67"/>
    <w:rsid w:val="00813C0E"/>
    <w:rsid w:val="008222B2"/>
    <w:rsid w:val="00822882"/>
    <w:rsid w:val="00823A86"/>
    <w:rsid w:val="0082453E"/>
    <w:rsid w:val="008245CD"/>
    <w:rsid w:val="008249BF"/>
    <w:rsid w:val="008258AE"/>
    <w:rsid w:val="008275A3"/>
    <w:rsid w:val="0083004A"/>
    <w:rsid w:val="00833781"/>
    <w:rsid w:val="0083415F"/>
    <w:rsid w:val="008343FF"/>
    <w:rsid w:val="00834CCC"/>
    <w:rsid w:val="00836211"/>
    <w:rsid w:val="00836AB3"/>
    <w:rsid w:val="00837242"/>
    <w:rsid w:val="0083734C"/>
    <w:rsid w:val="00841818"/>
    <w:rsid w:val="008420E2"/>
    <w:rsid w:val="00843CAC"/>
    <w:rsid w:val="00845B23"/>
    <w:rsid w:val="008472F8"/>
    <w:rsid w:val="0084778E"/>
    <w:rsid w:val="00847A6D"/>
    <w:rsid w:val="00850FBA"/>
    <w:rsid w:val="008517E9"/>
    <w:rsid w:val="0085278B"/>
    <w:rsid w:val="00853984"/>
    <w:rsid w:val="008545C4"/>
    <w:rsid w:val="00855B99"/>
    <w:rsid w:val="0085713D"/>
    <w:rsid w:val="008605EC"/>
    <w:rsid w:val="00860984"/>
    <w:rsid w:val="00860D35"/>
    <w:rsid w:val="008615EA"/>
    <w:rsid w:val="00861F03"/>
    <w:rsid w:val="00862D66"/>
    <w:rsid w:val="00863568"/>
    <w:rsid w:val="00865883"/>
    <w:rsid w:val="00866D89"/>
    <w:rsid w:val="0087027C"/>
    <w:rsid w:val="008710B9"/>
    <w:rsid w:val="0087363C"/>
    <w:rsid w:val="00873AE3"/>
    <w:rsid w:val="00873B18"/>
    <w:rsid w:val="008771BF"/>
    <w:rsid w:val="008800B3"/>
    <w:rsid w:val="00881CDE"/>
    <w:rsid w:val="00882F5D"/>
    <w:rsid w:val="00883799"/>
    <w:rsid w:val="00883B40"/>
    <w:rsid w:val="0088569E"/>
    <w:rsid w:val="00885700"/>
    <w:rsid w:val="00885999"/>
    <w:rsid w:val="008862C7"/>
    <w:rsid w:val="008910E1"/>
    <w:rsid w:val="008911B8"/>
    <w:rsid w:val="00891CF6"/>
    <w:rsid w:val="00892F5E"/>
    <w:rsid w:val="00893375"/>
    <w:rsid w:val="00894404"/>
    <w:rsid w:val="00894DDE"/>
    <w:rsid w:val="00895081"/>
    <w:rsid w:val="008A107E"/>
    <w:rsid w:val="008A3529"/>
    <w:rsid w:val="008A3A38"/>
    <w:rsid w:val="008A412D"/>
    <w:rsid w:val="008A697D"/>
    <w:rsid w:val="008A7103"/>
    <w:rsid w:val="008A7578"/>
    <w:rsid w:val="008B014F"/>
    <w:rsid w:val="008B2583"/>
    <w:rsid w:val="008B39B3"/>
    <w:rsid w:val="008B4344"/>
    <w:rsid w:val="008B4B2F"/>
    <w:rsid w:val="008B5A82"/>
    <w:rsid w:val="008B7F48"/>
    <w:rsid w:val="008C23D5"/>
    <w:rsid w:val="008C5AF0"/>
    <w:rsid w:val="008C61C9"/>
    <w:rsid w:val="008C6C65"/>
    <w:rsid w:val="008C7AF7"/>
    <w:rsid w:val="008D080A"/>
    <w:rsid w:val="008D0B48"/>
    <w:rsid w:val="008D43E0"/>
    <w:rsid w:val="008D459F"/>
    <w:rsid w:val="008D4931"/>
    <w:rsid w:val="008D504A"/>
    <w:rsid w:val="008D6552"/>
    <w:rsid w:val="008D7BBF"/>
    <w:rsid w:val="008E05CB"/>
    <w:rsid w:val="008E1B41"/>
    <w:rsid w:val="008E2606"/>
    <w:rsid w:val="008E4C31"/>
    <w:rsid w:val="008E5083"/>
    <w:rsid w:val="008E5672"/>
    <w:rsid w:val="008E6662"/>
    <w:rsid w:val="008F222A"/>
    <w:rsid w:val="008F3820"/>
    <w:rsid w:val="008F3C1D"/>
    <w:rsid w:val="008F4A9C"/>
    <w:rsid w:val="008F5748"/>
    <w:rsid w:val="008F616D"/>
    <w:rsid w:val="008F6776"/>
    <w:rsid w:val="008F7009"/>
    <w:rsid w:val="008F799F"/>
    <w:rsid w:val="00900190"/>
    <w:rsid w:val="009061F2"/>
    <w:rsid w:val="00911BB3"/>
    <w:rsid w:val="0091245F"/>
    <w:rsid w:val="00912FD7"/>
    <w:rsid w:val="009135C8"/>
    <w:rsid w:val="00913BE1"/>
    <w:rsid w:val="0091421F"/>
    <w:rsid w:val="00915F79"/>
    <w:rsid w:val="00921308"/>
    <w:rsid w:val="009225BD"/>
    <w:rsid w:val="0092408B"/>
    <w:rsid w:val="009240F2"/>
    <w:rsid w:val="00924B59"/>
    <w:rsid w:val="0092520C"/>
    <w:rsid w:val="0092545B"/>
    <w:rsid w:val="0092662C"/>
    <w:rsid w:val="00927023"/>
    <w:rsid w:val="0093010A"/>
    <w:rsid w:val="00930300"/>
    <w:rsid w:val="00931035"/>
    <w:rsid w:val="0093255E"/>
    <w:rsid w:val="00935205"/>
    <w:rsid w:val="0094047C"/>
    <w:rsid w:val="009447E7"/>
    <w:rsid w:val="00944D5F"/>
    <w:rsid w:val="00944E9C"/>
    <w:rsid w:val="00946D46"/>
    <w:rsid w:val="00951CFF"/>
    <w:rsid w:val="00952DC7"/>
    <w:rsid w:val="009546B2"/>
    <w:rsid w:val="00954EA8"/>
    <w:rsid w:val="00955432"/>
    <w:rsid w:val="00955822"/>
    <w:rsid w:val="00955962"/>
    <w:rsid w:val="00956AC1"/>
    <w:rsid w:val="009579BF"/>
    <w:rsid w:val="009623AF"/>
    <w:rsid w:val="009630EA"/>
    <w:rsid w:val="00963B0F"/>
    <w:rsid w:val="00963C68"/>
    <w:rsid w:val="00963E05"/>
    <w:rsid w:val="00965174"/>
    <w:rsid w:val="009658F9"/>
    <w:rsid w:val="00971A65"/>
    <w:rsid w:val="00971C81"/>
    <w:rsid w:val="00971F8D"/>
    <w:rsid w:val="009731A8"/>
    <w:rsid w:val="00973BF2"/>
    <w:rsid w:val="009743F4"/>
    <w:rsid w:val="00974758"/>
    <w:rsid w:val="00976137"/>
    <w:rsid w:val="00981EC6"/>
    <w:rsid w:val="00981F2D"/>
    <w:rsid w:val="00984088"/>
    <w:rsid w:val="009842F5"/>
    <w:rsid w:val="009858F1"/>
    <w:rsid w:val="00990553"/>
    <w:rsid w:val="00990C51"/>
    <w:rsid w:val="00992638"/>
    <w:rsid w:val="00996198"/>
    <w:rsid w:val="00996D81"/>
    <w:rsid w:val="009A054D"/>
    <w:rsid w:val="009A1798"/>
    <w:rsid w:val="009A2AB2"/>
    <w:rsid w:val="009B1866"/>
    <w:rsid w:val="009B2928"/>
    <w:rsid w:val="009B3158"/>
    <w:rsid w:val="009B361C"/>
    <w:rsid w:val="009B65A6"/>
    <w:rsid w:val="009C04AA"/>
    <w:rsid w:val="009C0896"/>
    <w:rsid w:val="009C3934"/>
    <w:rsid w:val="009C3B26"/>
    <w:rsid w:val="009C4B69"/>
    <w:rsid w:val="009C6F95"/>
    <w:rsid w:val="009D190C"/>
    <w:rsid w:val="009D2093"/>
    <w:rsid w:val="009D3173"/>
    <w:rsid w:val="009D3A70"/>
    <w:rsid w:val="009D7A63"/>
    <w:rsid w:val="009E106E"/>
    <w:rsid w:val="009E2694"/>
    <w:rsid w:val="009E4008"/>
    <w:rsid w:val="009E6C73"/>
    <w:rsid w:val="009E6F8C"/>
    <w:rsid w:val="009F08E8"/>
    <w:rsid w:val="009F14A9"/>
    <w:rsid w:val="009F265D"/>
    <w:rsid w:val="009F3178"/>
    <w:rsid w:val="009F47E0"/>
    <w:rsid w:val="009F51D9"/>
    <w:rsid w:val="009F6D1D"/>
    <w:rsid w:val="00A012FE"/>
    <w:rsid w:val="00A01DE8"/>
    <w:rsid w:val="00A022E2"/>
    <w:rsid w:val="00A0752E"/>
    <w:rsid w:val="00A10A25"/>
    <w:rsid w:val="00A12234"/>
    <w:rsid w:val="00A12AA6"/>
    <w:rsid w:val="00A12F87"/>
    <w:rsid w:val="00A15D57"/>
    <w:rsid w:val="00A2194A"/>
    <w:rsid w:val="00A2208A"/>
    <w:rsid w:val="00A2525D"/>
    <w:rsid w:val="00A2569E"/>
    <w:rsid w:val="00A2631E"/>
    <w:rsid w:val="00A33111"/>
    <w:rsid w:val="00A3353B"/>
    <w:rsid w:val="00A34387"/>
    <w:rsid w:val="00A344DA"/>
    <w:rsid w:val="00A37256"/>
    <w:rsid w:val="00A4601E"/>
    <w:rsid w:val="00A47F27"/>
    <w:rsid w:val="00A55B82"/>
    <w:rsid w:val="00A55C19"/>
    <w:rsid w:val="00A61C23"/>
    <w:rsid w:val="00A63CA8"/>
    <w:rsid w:val="00A64508"/>
    <w:rsid w:val="00A67CFB"/>
    <w:rsid w:val="00A7247D"/>
    <w:rsid w:val="00A724CE"/>
    <w:rsid w:val="00A73A7E"/>
    <w:rsid w:val="00A73ABF"/>
    <w:rsid w:val="00A73CCA"/>
    <w:rsid w:val="00A76118"/>
    <w:rsid w:val="00A7739A"/>
    <w:rsid w:val="00A80769"/>
    <w:rsid w:val="00A8076B"/>
    <w:rsid w:val="00A823F9"/>
    <w:rsid w:val="00A833ED"/>
    <w:rsid w:val="00A83F88"/>
    <w:rsid w:val="00A849AE"/>
    <w:rsid w:val="00A86028"/>
    <w:rsid w:val="00A876F8"/>
    <w:rsid w:val="00A9028D"/>
    <w:rsid w:val="00A9099A"/>
    <w:rsid w:val="00A93C12"/>
    <w:rsid w:val="00A95E8D"/>
    <w:rsid w:val="00A96CBF"/>
    <w:rsid w:val="00A96D66"/>
    <w:rsid w:val="00AA0EF8"/>
    <w:rsid w:val="00AA1C5D"/>
    <w:rsid w:val="00AA2867"/>
    <w:rsid w:val="00AA4606"/>
    <w:rsid w:val="00AB0F9E"/>
    <w:rsid w:val="00AB14B7"/>
    <w:rsid w:val="00AB64E5"/>
    <w:rsid w:val="00AB6E04"/>
    <w:rsid w:val="00AC1E5A"/>
    <w:rsid w:val="00AC2F91"/>
    <w:rsid w:val="00AC456E"/>
    <w:rsid w:val="00AC5563"/>
    <w:rsid w:val="00AC70EF"/>
    <w:rsid w:val="00AC7DAB"/>
    <w:rsid w:val="00AD1880"/>
    <w:rsid w:val="00AD1898"/>
    <w:rsid w:val="00AD27F6"/>
    <w:rsid w:val="00AD30BB"/>
    <w:rsid w:val="00AD47E0"/>
    <w:rsid w:val="00AD4A08"/>
    <w:rsid w:val="00AD5ED9"/>
    <w:rsid w:val="00AD6315"/>
    <w:rsid w:val="00AD6809"/>
    <w:rsid w:val="00AD690D"/>
    <w:rsid w:val="00AD69D4"/>
    <w:rsid w:val="00AD7669"/>
    <w:rsid w:val="00AE1DBA"/>
    <w:rsid w:val="00AE44A3"/>
    <w:rsid w:val="00AE4E87"/>
    <w:rsid w:val="00AE6802"/>
    <w:rsid w:val="00AF009B"/>
    <w:rsid w:val="00AF0129"/>
    <w:rsid w:val="00AF3EE3"/>
    <w:rsid w:val="00AF4DA6"/>
    <w:rsid w:val="00AF547E"/>
    <w:rsid w:val="00AF7A21"/>
    <w:rsid w:val="00B010DF"/>
    <w:rsid w:val="00B02B40"/>
    <w:rsid w:val="00B04D6E"/>
    <w:rsid w:val="00B04FC3"/>
    <w:rsid w:val="00B0591E"/>
    <w:rsid w:val="00B06F29"/>
    <w:rsid w:val="00B07F4A"/>
    <w:rsid w:val="00B10718"/>
    <w:rsid w:val="00B10D2D"/>
    <w:rsid w:val="00B12834"/>
    <w:rsid w:val="00B128C3"/>
    <w:rsid w:val="00B12BB1"/>
    <w:rsid w:val="00B1328A"/>
    <w:rsid w:val="00B14F06"/>
    <w:rsid w:val="00B16CB6"/>
    <w:rsid w:val="00B16D3E"/>
    <w:rsid w:val="00B17C09"/>
    <w:rsid w:val="00B22A15"/>
    <w:rsid w:val="00B23FF4"/>
    <w:rsid w:val="00B25279"/>
    <w:rsid w:val="00B261B8"/>
    <w:rsid w:val="00B27A70"/>
    <w:rsid w:val="00B27AD5"/>
    <w:rsid w:val="00B27F1E"/>
    <w:rsid w:val="00B31B43"/>
    <w:rsid w:val="00B33392"/>
    <w:rsid w:val="00B34A31"/>
    <w:rsid w:val="00B35D40"/>
    <w:rsid w:val="00B37802"/>
    <w:rsid w:val="00B41396"/>
    <w:rsid w:val="00B41F8C"/>
    <w:rsid w:val="00B42858"/>
    <w:rsid w:val="00B44855"/>
    <w:rsid w:val="00B504A5"/>
    <w:rsid w:val="00B5084F"/>
    <w:rsid w:val="00B50A98"/>
    <w:rsid w:val="00B5562D"/>
    <w:rsid w:val="00B55F8C"/>
    <w:rsid w:val="00B56E6E"/>
    <w:rsid w:val="00B5715D"/>
    <w:rsid w:val="00B571DE"/>
    <w:rsid w:val="00B57A43"/>
    <w:rsid w:val="00B60BE8"/>
    <w:rsid w:val="00B64334"/>
    <w:rsid w:val="00B64BA0"/>
    <w:rsid w:val="00B6551A"/>
    <w:rsid w:val="00B67C3D"/>
    <w:rsid w:val="00B70B6B"/>
    <w:rsid w:val="00B7443A"/>
    <w:rsid w:val="00B74535"/>
    <w:rsid w:val="00B77354"/>
    <w:rsid w:val="00B775C8"/>
    <w:rsid w:val="00B819C1"/>
    <w:rsid w:val="00B83A94"/>
    <w:rsid w:val="00B8436F"/>
    <w:rsid w:val="00B84F96"/>
    <w:rsid w:val="00B85D20"/>
    <w:rsid w:val="00B86CD3"/>
    <w:rsid w:val="00B877AF"/>
    <w:rsid w:val="00B90A4E"/>
    <w:rsid w:val="00B91E1D"/>
    <w:rsid w:val="00B92A38"/>
    <w:rsid w:val="00B92A7E"/>
    <w:rsid w:val="00B93124"/>
    <w:rsid w:val="00B9461A"/>
    <w:rsid w:val="00BA248E"/>
    <w:rsid w:val="00BA284B"/>
    <w:rsid w:val="00BA2F85"/>
    <w:rsid w:val="00BA59BA"/>
    <w:rsid w:val="00BA6D92"/>
    <w:rsid w:val="00BA74BF"/>
    <w:rsid w:val="00BB0AC9"/>
    <w:rsid w:val="00BB26E6"/>
    <w:rsid w:val="00BB37A6"/>
    <w:rsid w:val="00BB529D"/>
    <w:rsid w:val="00BB5715"/>
    <w:rsid w:val="00BB5BB3"/>
    <w:rsid w:val="00BB6BFB"/>
    <w:rsid w:val="00BC02A2"/>
    <w:rsid w:val="00BC0341"/>
    <w:rsid w:val="00BC0CF8"/>
    <w:rsid w:val="00BC16B9"/>
    <w:rsid w:val="00BC1980"/>
    <w:rsid w:val="00BC28AE"/>
    <w:rsid w:val="00BC3ECA"/>
    <w:rsid w:val="00BC434A"/>
    <w:rsid w:val="00BC4CAB"/>
    <w:rsid w:val="00BC54EF"/>
    <w:rsid w:val="00BC666A"/>
    <w:rsid w:val="00BC6EF7"/>
    <w:rsid w:val="00BD4B16"/>
    <w:rsid w:val="00BD5AE3"/>
    <w:rsid w:val="00BD7269"/>
    <w:rsid w:val="00BD7BCE"/>
    <w:rsid w:val="00BD7F41"/>
    <w:rsid w:val="00BE0F70"/>
    <w:rsid w:val="00BE2202"/>
    <w:rsid w:val="00BE3B45"/>
    <w:rsid w:val="00BE4C83"/>
    <w:rsid w:val="00BE4FB3"/>
    <w:rsid w:val="00BE500E"/>
    <w:rsid w:val="00BE6829"/>
    <w:rsid w:val="00BE6E4A"/>
    <w:rsid w:val="00BF0D00"/>
    <w:rsid w:val="00BF11BB"/>
    <w:rsid w:val="00BF1EB6"/>
    <w:rsid w:val="00BF2985"/>
    <w:rsid w:val="00BF3083"/>
    <w:rsid w:val="00BF52E8"/>
    <w:rsid w:val="00BF56B8"/>
    <w:rsid w:val="00BF5E9D"/>
    <w:rsid w:val="00BF72D9"/>
    <w:rsid w:val="00BF7DBF"/>
    <w:rsid w:val="00C0447B"/>
    <w:rsid w:val="00C04784"/>
    <w:rsid w:val="00C061EA"/>
    <w:rsid w:val="00C070EF"/>
    <w:rsid w:val="00C076FD"/>
    <w:rsid w:val="00C07E84"/>
    <w:rsid w:val="00C11B60"/>
    <w:rsid w:val="00C12D55"/>
    <w:rsid w:val="00C13F8F"/>
    <w:rsid w:val="00C16ECE"/>
    <w:rsid w:val="00C17F16"/>
    <w:rsid w:val="00C20B11"/>
    <w:rsid w:val="00C215E6"/>
    <w:rsid w:val="00C21AA9"/>
    <w:rsid w:val="00C23920"/>
    <w:rsid w:val="00C23F86"/>
    <w:rsid w:val="00C24294"/>
    <w:rsid w:val="00C254FA"/>
    <w:rsid w:val="00C25621"/>
    <w:rsid w:val="00C259FC"/>
    <w:rsid w:val="00C26AF3"/>
    <w:rsid w:val="00C26E67"/>
    <w:rsid w:val="00C26E91"/>
    <w:rsid w:val="00C27708"/>
    <w:rsid w:val="00C3095E"/>
    <w:rsid w:val="00C31360"/>
    <w:rsid w:val="00C31AEE"/>
    <w:rsid w:val="00C32A14"/>
    <w:rsid w:val="00C359DE"/>
    <w:rsid w:val="00C372ED"/>
    <w:rsid w:val="00C40648"/>
    <w:rsid w:val="00C4137E"/>
    <w:rsid w:val="00C4284B"/>
    <w:rsid w:val="00C42D0D"/>
    <w:rsid w:val="00C53097"/>
    <w:rsid w:val="00C5639D"/>
    <w:rsid w:val="00C578A8"/>
    <w:rsid w:val="00C57B04"/>
    <w:rsid w:val="00C60707"/>
    <w:rsid w:val="00C62A68"/>
    <w:rsid w:val="00C64D75"/>
    <w:rsid w:val="00C64FCD"/>
    <w:rsid w:val="00C65C98"/>
    <w:rsid w:val="00C65FE4"/>
    <w:rsid w:val="00C70FA4"/>
    <w:rsid w:val="00C7408E"/>
    <w:rsid w:val="00C74331"/>
    <w:rsid w:val="00C82A54"/>
    <w:rsid w:val="00C82B40"/>
    <w:rsid w:val="00C84398"/>
    <w:rsid w:val="00C8559C"/>
    <w:rsid w:val="00C8587B"/>
    <w:rsid w:val="00C871F0"/>
    <w:rsid w:val="00C8728C"/>
    <w:rsid w:val="00C9140F"/>
    <w:rsid w:val="00C91C23"/>
    <w:rsid w:val="00C95259"/>
    <w:rsid w:val="00C95455"/>
    <w:rsid w:val="00C976C1"/>
    <w:rsid w:val="00CA03C5"/>
    <w:rsid w:val="00CA5362"/>
    <w:rsid w:val="00CA60D2"/>
    <w:rsid w:val="00CA65BF"/>
    <w:rsid w:val="00CA777C"/>
    <w:rsid w:val="00CA7D1F"/>
    <w:rsid w:val="00CB0437"/>
    <w:rsid w:val="00CB287E"/>
    <w:rsid w:val="00CB3929"/>
    <w:rsid w:val="00CB5172"/>
    <w:rsid w:val="00CB60D9"/>
    <w:rsid w:val="00CB6734"/>
    <w:rsid w:val="00CB6B89"/>
    <w:rsid w:val="00CB70A3"/>
    <w:rsid w:val="00CB7226"/>
    <w:rsid w:val="00CC03B4"/>
    <w:rsid w:val="00CC1BF0"/>
    <w:rsid w:val="00CC21C8"/>
    <w:rsid w:val="00CC58AD"/>
    <w:rsid w:val="00CC75E8"/>
    <w:rsid w:val="00CD0AC3"/>
    <w:rsid w:val="00CD0E0B"/>
    <w:rsid w:val="00CD450E"/>
    <w:rsid w:val="00CE0EEF"/>
    <w:rsid w:val="00CE2670"/>
    <w:rsid w:val="00CE4D10"/>
    <w:rsid w:val="00CE56CF"/>
    <w:rsid w:val="00CE58DA"/>
    <w:rsid w:val="00CE5B85"/>
    <w:rsid w:val="00CF028E"/>
    <w:rsid w:val="00CF0801"/>
    <w:rsid w:val="00CF4067"/>
    <w:rsid w:val="00CF414C"/>
    <w:rsid w:val="00CF44B6"/>
    <w:rsid w:val="00CF58E5"/>
    <w:rsid w:val="00D01AEE"/>
    <w:rsid w:val="00D04A46"/>
    <w:rsid w:val="00D05676"/>
    <w:rsid w:val="00D068AD"/>
    <w:rsid w:val="00D06FA0"/>
    <w:rsid w:val="00D12651"/>
    <w:rsid w:val="00D1400A"/>
    <w:rsid w:val="00D152C4"/>
    <w:rsid w:val="00D1657B"/>
    <w:rsid w:val="00D169CF"/>
    <w:rsid w:val="00D16FDE"/>
    <w:rsid w:val="00D17432"/>
    <w:rsid w:val="00D17738"/>
    <w:rsid w:val="00D20720"/>
    <w:rsid w:val="00D20724"/>
    <w:rsid w:val="00D20A51"/>
    <w:rsid w:val="00D2494D"/>
    <w:rsid w:val="00D260C0"/>
    <w:rsid w:val="00D26568"/>
    <w:rsid w:val="00D26FCF"/>
    <w:rsid w:val="00D35367"/>
    <w:rsid w:val="00D368EA"/>
    <w:rsid w:val="00D403CB"/>
    <w:rsid w:val="00D41592"/>
    <w:rsid w:val="00D46C09"/>
    <w:rsid w:val="00D47130"/>
    <w:rsid w:val="00D47F59"/>
    <w:rsid w:val="00D50500"/>
    <w:rsid w:val="00D50642"/>
    <w:rsid w:val="00D51609"/>
    <w:rsid w:val="00D5209E"/>
    <w:rsid w:val="00D52B88"/>
    <w:rsid w:val="00D531BE"/>
    <w:rsid w:val="00D55419"/>
    <w:rsid w:val="00D5550A"/>
    <w:rsid w:val="00D558CD"/>
    <w:rsid w:val="00D55C99"/>
    <w:rsid w:val="00D560C6"/>
    <w:rsid w:val="00D63CFF"/>
    <w:rsid w:val="00D64889"/>
    <w:rsid w:val="00D657D3"/>
    <w:rsid w:val="00D70E00"/>
    <w:rsid w:val="00D7173F"/>
    <w:rsid w:val="00D732BB"/>
    <w:rsid w:val="00D74650"/>
    <w:rsid w:val="00D746A1"/>
    <w:rsid w:val="00D74F7A"/>
    <w:rsid w:val="00D7562C"/>
    <w:rsid w:val="00D75FD9"/>
    <w:rsid w:val="00D762F8"/>
    <w:rsid w:val="00D77648"/>
    <w:rsid w:val="00D801BC"/>
    <w:rsid w:val="00D801C3"/>
    <w:rsid w:val="00D8118B"/>
    <w:rsid w:val="00D82687"/>
    <w:rsid w:val="00D82C9E"/>
    <w:rsid w:val="00D834DF"/>
    <w:rsid w:val="00D8354C"/>
    <w:rsid w:val="00D835B3"/>
    <w:rsid w:val="00D83D3B"/>
    <w:rsid w:val="00D83F62"/>
    <w:rsid w:val="00D9666C"/>
    <w:rsid w:val="00D97FA6"/>
    <w:rsid w:val="00DA19D5"/>
    <w:rsid w:val="00DA24A4"/>
    <w:rsid w:val="00DA33AA"/>
    <w:rsid w:val="00DA6725"/>
    <w:rsid w:val="00DB137B"/>
    <w:rsid w:val="00DB2C69"/>
    <w:rsid w:val="00DB2E38"/>
    <w:rsid w:val="00DB5473"/>
    <w:rsid w:val="00DB5782"/>
    <w:rsid w:val="00DB5C50"/>
    <w:rsid w:val="00DB6916"/>
    <w:rsid w:val="00DB6939"/>
    <w:rsid w:val="00DB7620"/>
    <w:rsid w:val="00DC14CE"/>
    <w:rsid w:val="00DC2231"/>
    <w:rsid w:val="00DC3ED9"/>
    <w:rsid w:val="00DC4A3F"/>
    <w:rsid w:val="00DC50D7"/>
    <w:rsid w:val="00DC5505"/>
    <w:rsid w:val="00DC61B2"/>
    <w:rsid w:val="00DC6DFA"/>
    <w:rsid w:val="00DD0BA4"/>
    <w:rsid w:val="00DD1F28"/>
    <w:rsid w:val="00DD2BC4"/>
    <w:rsid w:val="00DD2EF9"/>
    <w:rsid w:val="00DD3A91"/>
    <w:rsid w:val="00DD53FC"/>
    <w:rsid w:val="00DD6F92"/>
    <w:rsid w:val="00DE07F2"/>
    <w:rsid w:val="00DE187B"/>
    <w:rsid w:val="00DE2884"/>
    <w:rsid w:val="00DE6B5C"/>
    <w:rsid w:val="00DE7621"/>
    <w:rsid w:val="00DF39CF"/>
    <w:rsid w:val="00DF3D60"/>
    <w:rsid w:val="00DF456D"/>
    <w:rsid w:val="00DF4CF8"/>
    <w:rsid w:val="00DF6C95"/>
    <w:rsid w:val="00DF70DF"/>
    <w:rsid w:val="00E00652"/>
    <w:rsid w:val="00E0135E"/>
    <w:rsid w:val="00E01E43"/>
    <w:rsid w:val="00E0755C"/>
    <w:rsid w:val="00E07F5F"/>
    <w:rsid w:val="00E10A80"/>
    <w:rsid w:val="00E113D4"/>
    <w:rsid w:val="00E1153B"/>
    <w:rsid w:val="00E12844"/>
    <w:rsid w:val="00E12FB9"/>
    <w:rsid w:val="00E20380"/>
    <w:rsid w:val="00E2316F"/>
    <w:rsid w:val="00E23C40"/>
    <w:rsid w:val="00E240AD"/>
    <w:rsid w:val="00E24A6C"/>
    <w:rsid w:val="00E2576C"/>
    <w:rsid w:val="00E257D1"/>
    <w:rsid w:val="00E26771"/>
    <w:rsid w:val="00E3156C"/>
    <w:rsid w:val="00E31AAC"/>
    <w:rsid w:val="00E3289B"/>
    <w:rsid w:val="00E32DEF"/>
    <w:rsid w:val="00E33D31"/>
    <w:rsid w:val="00E34746"/>
    <w:rsid w:val="00E35493"/>
    <w:rsid w:val="00E35568"/>
    <w:rsid w:val="00E35ABB"/>
    <w:rsid w:val="00E366FE"/>
    <w:rsid w:val="00E410CF"/>
    <w:rsid w:val="00E46874"/>
    <w:rsid w:val="00E46BDF"/>
    <w:rsid w:val="00E46CA3"/>
    <w:rsid w:val="00E51086"/>
    <w:rsid w:val="00E54C26"/>
    <w:rsid w:val="00E5621E"/>
    <w:rsid w:val="00E571CE"/>
    <w:rsid w:val="00E57DCE"/>
    <w:rsid w:val="00E6106B"/>
    <w:rsid w:val="00E62228"/>
    <w:rsid w:val="00E6438B"/>
    <w:rsid w:val="00E6481D"/>
    <w:rsid w:val="00E71C4B"/>
    <w:rsid w:val="00E71FF2"/>
    <w:rsid w:val="00E7315A"/>
    <w:rsid w:val="00E73930"/>
    <w:rsid w:val="00E753D8"/>
    <w:rsid w:val="00E75C51"/>
    <w:rsid w:val="00E77AD2"/>
    <w:rsid w:val="00E80C05"/>
    <w:rsid w:val="00E816A1"/>
    <w:rsid w:val="00E8193D"/>
    <w:rsid w:val="00E81CAD"/>
    <w:rsid w:val="00E821B1"/>
    <w:rsid w:val="00E85009"/>
    <w:rsid w:val="00E86AA9"/>
    <w:rsid w:val="00E87A74"/>
    <w:rsid w:val="00E93560"/>
    <w:rsid w:val="00E9384C"/>
    <w:rsid w:val="00E94487"/>
    <w:rsid w:val="00E944AC"/>
    <w:rsid w:val="00E94B83"/>
    <w:rsid w:val="00E9551B"/>
    <w:rsid w:val="00E95D41"/>
    <w:rsid w:val="00E9623D"/>
    <w:rsid w:val="00E978B7"/>
    <w:rsid w:val="00EA29DF"/>
    <w:rsid w:val="00EA2CA7"/>
    <w:rsid w:val="00EA32F1"/>
    <w:rsid w:val="00EA3F2F"/>
    <w:rsid w:val="00EA4031"/>
    <w:rsid w:val="00EA4240"/>
    <w:rsid w:val="00EB0685"/>
    <w:rsid w:val="00EB07A9"/>
    <w:rsid w:val="00EB1D2E"/>
    <w:rsid w:val="00EB22B3"/>
    <w:rsid w:val="00EB25F2"/>
    <w:rsid w:val="00EB26F4"/>
    <w:rsid w:val="00EB29BF"/>
    <w:rsid w:val="00EB4161"/>
    <w:rsid w:val="00EB46C6"/>
    <w:rsid w:val="00EB503E"/>
    <w:rsid w:val="00EB5824"/>
    <w:rsid w:val="00EB68F3"/>
    <w:rsid w:val="00EB6CD8"/>
    <w:rsid w:val="00EB78B3"/>
    <w:rsid w:val="00EC09C1"/>
    <w:rsid w:val="00EC1607"/>
    <w:rsid w:val="00EC20EB"/>
    <w:rsid w:val="00EC24A2"/>
    <w:rsid w:val="00EC31FD"/>
    <w:rsid w:val="00EC6951"/>
    <w:rsid w:val="00EC7FAE"/>
    <w:rsid w:val="00ED0DFC"/>
    <w:rsid w:val="00ED3E4C"/>
    <w:rsid w:val="00ED4FBC"/>
    <w:rsid w:val="00EE0D64"/>
    <w:rsid w:val="00EE170E"/>
    <w:rsid w:val="00EE2137"/>
    <w:rsid w:val="00EE3282"/>
    <w:rsid w:val="00EE4292"/>
    <w:rsid w:val="00EE43A4"/>
    <w:rsid w:val="00EE4AB6"/>
    <w:rsid w:val="00EE6525"/>
    <w:rsid w:val="00EE7141"/>
    <w:rsid w:val="00EE7601"/>
    <w:rsid w:val="00EF10A1"/>
    <w:rsid w:val="00EF2465"/>
    <w:rsid w:val="00EF4CBB"/>
    <w:rsid w:val="00EF4F48"/>
    <w:rsid w:val="00EF539D"/>
    <w:rsid w:val="00EF5E92"/>
    <w:rsid w:val="00F02411"/>
    <w:rsid w:val="00F02460"/>
    <w:rsid w:val="00F03010"/>
    <w:rsid w:val="00F05CEB"/>
    <w:rsid w:val="00F10952"/>
    <w:rsid w:val="00F117D2"/>
    <w:rsid w:val="00F120CC"/>
    <w:rsid w:val="00F14089"/>
    <w:rsid w:val="00F14638"/>
    <w:rsid w:val="00F20866"/>
    <w:rsid w:val="00F23A0E"/>
    <w:rsid w:val="00F23B1D"/>
    <w:rsid w:val="00F2480C"/>
    <w:rsid w:val="00F24BEE"/>
    <w:rsid w:val="00F264B6"/>
    <w:rsid w:val="00F272FD"/>
    <w:rsid w:val="00F34EEE"/>
    <w:rsid w:val="00F3676E"/>
    <w:rsid w:val="00F367DA"/>
    <w:rsid w:val="00F37344"/>
    <w:rsid w:val="00F37700"/>
    <w:rsid w:val="00F377C7"/>
    <w:rsid w:val="00F37962"/>
    <w:rsid w:val="00F40D21"/>
    <w:rsid w:val="00F42CDC"/>
    <w:rsid w:val="00F435D6"/>
    <w:rsid w:val="00F44A46"/>
    <w:rsid w:val="00F47E69"/>
    <w:rsid w:val="00F503BD"/>
    <w:rsid w:val="00F53616"/>
    <w:rsid w:val="00F53936"/>
    <w:rsid w:val="00F54204"/>
    <w:rsid w:val="00F5422F"/>
    <w:rsid w:val="00F554EF"/>
    <w:rsid w:val="00F601A3"/>
    <w:rsid w:val="00F60BDE"/>
    <w:rsid w:val="00F62B60"/>
    <w:rsid w:val="00F64F59"/>
    <w:rsid w:val="00F65D0A"/>
    <w:rsid w:val="00F66BE0"/>
    <w:rsid w:val="00F67673"/>
    <w:rsid w:val="00F70276"/>
    <w:rsid w:val="00F70ACD"/>
    <w:rsid w:val="00F71687"/>
    <w:rsid w:val="00F72755"/>
    <w:rsid w:val="00F7311B"/>
    <w:rsid w:val="00F738F6"/>
    <w:rsid w:val="00F7488F"/>
    <w:rsid w:val="00F76874"/>
    <w:rsid w:val="00F80D6F"/>
    <w:rsid w:val="00F90903"/>
    <w:rsid w:val="00F95340"/>
    <w:rsid w:val="00F9564C"/>
    <w:rsid w:val="00F95BA5"/>
    <w:rsid w:val="00F96139"/>
    <w:rsid w:val="00F9645E"/>
    <w:rsid w:val="00F965F9"/>
    <w:rsid w:val="00F97607"/>
    <w:rsid w:val="00FA0811"/>
    <w:rsid w:val="00FA16A5"/>
    <w:rsid w:val="00FA2253"/>
    <w:rsid w:val="00FA2432"/>
    <w:rsid w:val="00FA3985"/>
    <w:rsid w:val="00FA4511"/>
    <w:rsid w:val="00FA54AE"/>
    <w:rsid w:val="00FB0A77"/>
    <w:rsid w:val="00FB1EC9"/>
    <w:rsid w:val="00FB3356"/>
    <w:rsid w:val="00FB37C8"/>
    <w:rsid w:val="00FB519D"/>
    <w:rsid w:val="00FB5949"/>
    <w:rsid w:val="00FB69D5"/>
    <w:rsid w:val="00FB6F4A"/>
    <w:rsid w:val="00FC0730"/>
    <w:rsid w:val="00FC129A"/>
    <w:rsid w:val="00FC4309"/>
    <w:rsid w:val="00FC4DD5"/>
    <w:rsid w:val="00FC4F14"/>
    <w:rsid w:val="00FC5710"/>
    <w:rsid w:val="00FC6519"/>
    <w:rsid w:val="00FC6640"/>
    <w:rsid w:val="00FC6A9D"/>
    <w:rsid w:val="00FD03A6"/>
    <w:rsid w:val="00FD04DB"/>
    <w:rsid w:val="00FD0B11"/>
    <w:rsid w:val="00FD0E35"/>
    <w:rsid w:val="00FD2BCB"/>
    <w:rsid w:val="00FD3693"/>
    <w:rsid w:val="00FE0F2C"/>
    <w:rsid w:val="00FE13C3"/>
    <w:rsid w:val="00FE16DD"/>
    <w:rsid w:val="00FE2088"/>
    <w:rsid w:val="00FE2869"/>
    <w:rsid w:val="00FE356A"/>
    <w:rsid w:val="00FF0B66"/>
    <w:rsid w:val="00FF0C29"/>
    <w:rsid w:val="00FF0ED4"/>
    <w:rsid w:val="00FF20C2"/>
    <w:rsid w:val="00FF20D1"/>
    <w:rsid w:val="00FF279E"/>
    <w:rsid w:val="00FF28BF"/>
    <w:rsid w:val="00FF43F7"/>
    <w:rsid w:val="00FF5F38"/>
    <w:rsid w:val="00FF622E"/>
    <w:rsid w:val="00FF657C"/>
    <w:rsid w:val="013D4C77"/>
    <w:rsid w:val="048146F4"/>
    <w:rsid w:val="055F62E0"/>
    <w:rsid w:val="09153DF2"/>
    <w:rsid w:val="0ED47BA0"/>
    <w:rsid w:val="12722550"/>
    <w:rsid w:val="170F3BE3"/>
    <w:rsid w:val="19D53247"/>
    <w:rsid w:val="25A72755"/>
    <w:rsid w:val="25F74556"/>
    <w:rsid w:val="264F043F"/>
    <w:rsid w:val="2A9F770B"/>
    <w:rsid w:val="2FB616D4"/>
    <w:rsid w:val="31C204AF"/>
    <w:rsid w:val="36BF53DF"/>
    <w:rsid w:val="39B905C0"/>
    <w:rsid w:val="3B0A24EB"/>
    <w:rsid w:val="3B3C3FBF"/>
    <w:rsid w:val="40331471"/>
    <w:rsid w:val="47F87820"/>
    <w:rsid w:val="49BF718C"/>
    <w:rsid w:val="4D630721"/>
    <w:rsid w:val="4EBD75BF"/>
    <w:rsid w:val="506C277D"/>
    <w:rsid w:val="50F3395B"/>
    <w:rsid w:val="53D02E0F"/>
    <w:rsid w:val="5BF32781"/>
    <w:rsid w:val="63107694"/>
    <w:rsid w:val="641571CF"/>
    <w:rsid w:val="644B572A"/>
    <w:rsid w:val="68511835"/>
    <w:rsid w:val="6C4E0DC0"/>
    <w:rsid w:val="7A0138B5"/>
    <w:rsid w:val="7C81178F"/>
    <w:rsid w:val="7C8932DF"/>
    <w:rsid w:val="7CF65E91"/>
    <w:rsid w:val="7E087EEB"/>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99" w:name="toc 2"/>
    <w:lsdException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nhideWhenUsed="0" w:uiPriority="99" w:name="footnote text"/>
    <w:lsdException w:unhideWhenUsed="0" w:uiPriority="0" w:semiHidden="0" w:name="annotation text"/>
    <w:lsdException w:unhideWhenUsed="0" w:uiPriority="99" w:semiHidden="0" w:name="header"/>
    <w:lsdException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nhideWhenUsed="0" w:uiPriority="99" w:name="footnote reference"/>
    <w:lsdException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semiHidden="0" w:name="Default Paragraph Font"/>
    <w:lsdException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semiHidden="0" w:name="FollowedHyperlink" w:locked="1"/>
    <w:lsdException w:qFormat="1" w:unhideWhenUsed="0" w:uiPriority="99" w:semiHidden="0" w:name="Strong"/>
    <w:lsdException w:qFormat="1" w:unhideWhenUsed="0" w:uiPriority="99" w:semiHidden="0" w:name="Emphasis" w:locked="1"/>
    <w:lsdException w:unhideWhenUsed="0" w:uiPriority="99"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1"/>
      <w:lang w:val="en-US" w:eastAsia="zh-CN" w:bidi="ar-SA"/>
    </w:rPr>
  </w:style>
  <w:style w:type="paragraph" w:styleId="2">
    <w:name w:val="heading 1"/>
    <w:basedOn w:val="1"/>
    <w:next w:val="1"/>
    <w:link w:val="202"/>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203"/>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204"/>
    <w:qFormat/>
    <w:uiPriority w:val="99"/>
    <w:pPr>
      <w:keepNext/>
      <w:keepLines/>
      <w:spacing w:before="260" w:after="260" w:line="413" w:lineRule="auto"/>
      <w:outlineLvl w:val="2"/>
    </w:pPr>
    <w:rPr>
      <w:b/>
      <w:bCs/>
      <w:sz w:val="32"/>
      <w:szCs w:val="32"/>
    </w:rPr>
  </w:style>
  <w:style w:type="paragraph" w:styleId="5">
    <w:name w:val="heading 4"/>
    <w:basedOn w:val="1"/>
    <w:next w:val="1"/>
    <w:link w:val="205"/>
    <w:qFormat/>
    <w:uiPriority w:val="99"/>
    <w:pPr>
      <w:keepNext/>
      <w:keepLines/>
      <w:spacing w:before="280" w:after="290" w:line="372" w:lineRule="auto"/>
      <w:outlineLvl w:val="3"/>
    </w:pPr>
    <w:rPr>
      <w:rFonts w:ascii="Cambria" w:hAnsi="Cambria" w:cs="Cambria"/>
      <w:b/>
      <w:bCs/>
      <w:sz w:val="28"/>
      <w:szCs w:val="28"/>
    </w:rPr>
  </w:style>
  <w:style w:type="character" w:default="1" w:styleId="21">
    <w:name w:val="Default Paragraph Font"/>
    <w:unhideWhenUsed/>
    <w:uiPriority w:val="1"/>
  </w:style>
  <w:style w:type="table" w:default="1" w:styleId="27">
    <w:name w:val="Normal Table"/>
    <w:unhideWhenUsed/>
    <w:uiPriority w:val="99"/>
    <w:tblPr>
      <w:tblStyle w:val="27"/>
      <w:tblLayout w:type="fixed"/>
      <w:tblCellMar>
        <w:top w:w="0" w:type="dxa"/>
        <w:left w:w="108" w:type="dxa"/>
        <w:bottom w:w="0" w:type="dxa"/>
        <w:right w:w="108" w:type="dxa"/>
      </w:tblCellMar>
    </w:tblPr>
    <w:tcPr>
      <w:textDirection w:val="lrTb"/>
    </w:tcPr>
  </w:style>
  <w:style w:type="paragraph" w:styleId="6">
    <w:name w:val="annotation subject"/>
    <w:basedOn w:val="7"/>
    <w:next w:val="7"/>
    <w:link w:val="207"/>
    <w:semiHidden/>
    <w:uiPriority w:val="99"/>
    <w:rPr>
      <w:b/>
      <w:bCs/>
    </w:rPr>
  </w:style>
  <w:style w:type="paragraph" w:styleId="7">
    <w:name w:val="annotation text"/>
    <w:basedOn w:val="1"/>
    <w:link w:val="237"/>
    <w:uiPriority w:val="0"/>
  </w:style>
  <w:style w:type="paragraph" w:styleId="8">
    <w:name w:val="caption"/>
    <w:basedOn w:val="1"/>
    <w:next w:val="1"/>
    <w:qFormat/>
    <w:uiPriority w:val="99"/>
    <w:rPr>
      <w:rFonts w:ascii="Cambria" w:hAnsi="Cambria" w:eastAsia="黑体" w:cs="Cambria"/>
      <w:sz w:val="20"/>
      <w:szCs w:val="20"/>
    </w:rPr>
  </w:style>
  <w:style w:type="paragraph" w:styleId="9">
    <w:name w:val="Document Map"/>
    <w:basedOn w:val="1"/>
    <w:link w:val="208"/>
    <w:semiHidden/>
    <w:uiPriority w:val="99"/>
    <w:rPr>
      <w:rFonts w:ascii="宋体" w:cs="宋体"/>
      <w:sz w:val="18"/>
      <w:szCs w:val="18"/>
    </w:rPr>
  </w:style>
  <w:style w:type="paragraph" w:styleId="10">
    <w:name w:val="Body Text"/>
    <w:basedOn w:val="1"/>
    <w:link w:val="236"/>
    <w:uiPriority w:val="99"/>
    <w:pPr>
      <w:spacing w:after="120"/>
    </w:pPr>
  </w:style>
  <w:style w:type="paragraph" w:styleId="11">
    <w:name w:val="toc 3"/>
    <w:basedOn w:val="1"/>
    <w:next w:val="1"/>
    <w:semiHidden/>
    <w:uiPriority w:val="99"/>
    <w:pPr>
      <w:spacing w:after="100" w:line="276" w:lineRule="auto"/>
      <w:ind w:left="440"/>
    </w:pPr>
    <w:rPr>
      <w:rFonts w:ascii="Calibri" w:hAnsi="Calibri" w:cs="Calibri"/>
      <w:kern w:val="0"/>
      <w:sz w:val="22"/>
      <w:szCs w:val="22"/>
    </w:rPr>
  </w:style>
  <w:style w:type="paragraph" w:styleId="12">
    <w:name w:val="Date"/>
    <w:basedOn w:val="1"/>
    <w:next w:val="1"/>
    <w:link w:val="254"/>
    <w:semiHidden/>
    <w:uiPriority w:val="99"/>
    <w:pPr>
      <w:ind w:left="100" w:leftChars="2500"/>
    </w:pPr>
  </w:style>
  <w:style w:type="paragraph" w:styleId="13">
    <w:name w:val="Balloon Text"/>
    <w:basedOn w:val="1"/>
    <w:link w:val="239"/>
    <w:semiHidden/>
    <w:uiPriority w:val="99"/>
    <w:rPr>
      <w:sz w:val="18"/>
      <w:szCs w:val="18"/>
    </w:rPr>
  </w:style>
  <w:style w:type="paragraph" w:styleId="14">
    <w:name w:val="footer"/>
    <w:basedOn w:val="1"/>
    <w:link w:val="240"/>
    <w:uiPriority w:val="99"/>
    <w:pPr>
      <w:tabs>
        <w:tab w:val="center" w:pos="4153"/>
        <w:tab w:val="right" w:pos="8306"/>
      </w:tabs>
      <w:snapToGrid w:val="0"/>
    </w:pPr>
    <w:rPr>
      <w:sz w:val="18"/>
      <w:szCs w:val="18"/>
    </w:rPr>
  </w:style>
  <w:style w:type="paragraph" w:styleId="15">
    <w:name w:val="header"/>
    <w:basedOn w:val="1"/>
    <w:link w:val="238"/>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iPriority w:val="39"/>
  </w:style>
  <w:style w:type="paragraph" w:styleId="17">
    <w:name w:val="footnote text"/>
    <w:basedOn w:val="1"/>
    <w:link w:val="241"/>
    <w:semiHidden/>
    <w:uiPriority w:val="99"/>
    <w:pPr>
      <w:snapToGrid w:val="0"/>
    </w:pPr>
    <w:rPr>
      <w:kern w:val="0"/>
      <w:sz w:val="18"/>
      <w:szCs w:val="18"/>
    </w:rPr>
  </w:style>
  <w:style w:type="paragraph" w:styleId="18">
    <w:name w:val="toc 2"/>
    <w:basedOn w:val="1"/>
    <w:next w:val="1"/>
    <w:semiHidden/>
    <w:uiPriority w:val="99"/>
    <w:pPr>
      <w:ind w:left="420" w:leftChars="200"/>
    </w:pPr>
  </w:style>
  <w:style w:type="paragraph" w:styleId="19">
    <w:name w:val="Normal (Web)"/>
    <w:basedOn w:val="1"/>
    <w:uiPriority w:val="99"/>
    <w:pPr>
      <w:spacing w:before="100" w:beforeAutospacing="1" w:after="100" w:afterAutospacing="1"/>
    </w:pPr>
    <w:rPr>
      <w:rFonts w:ascii="宋体" w:hAnsi="宋体" w:cs="宋体"/>
      <w:kern w:val="0"/>
      <w:sz w:val="24"/>
      <w:szCs w:val="24"/>
    </w:rPr>
  </w:style>
  <w:style w:type="paragraph" w:styleId="20">
    <w:name w:val="Title"/>
    <w:basedOn w:val="1"/>
    <w:next w:val="1"/>
    <w:link w:val="242"/>
    <w:qFormat/>
    <w:uiPriority w:val="99"/>
    <w:pPr>
      <w:widowControl w:val="0"/>
      <w:spacing w:before="240" w:after="60"/>
      <w:jc w:val="center"/>
      <w:outlineLvl w:val="0"/>
    </w:pPr>
    <w:rPr>
      <w:rFonts w:ascii="Cambria" w:hAnsi="Cambria" w:cs="Cambria"/>
      <w:b/>
      <w:bCs/>
      <w:kern w:val="0"/>
      <w:sz w:val="32"/>
      <w:szCs w:val="32"/>
    </w:rPr>
  </w:style>
  <w:style w:type="character" w:styleId="22">
    <w:name w:val="Strong"/>
    <w:qFormat/>
    <w:uiPriority w:val="99"/>
    <w:rPr>
      <w:b/>
      <w:bCs/>
    </w:rPr>
  </w:style>
  <w:style w:type="character" w:styleId="23">
    <w:name w:val="Emphasis"/>
    <w:qFormat/>
    <w:locked/>
    <w:uiPriority w:val="99"/>
    <w:rPr>
      <w:i/>
      <w:iCs/>
    </w:rPr>
  </w:style>
  <w:style w:type="character" w:styleId="24">
    <w:name w:val="Hyperlink"/>
    <w:uiPriority w:val="99"/>
    <w:rPr>
      <w:color w:val="000000"/>
      <w:u w:val="none"/>
    </w:rPr>
  </w:style>
  <w:style w:type="character" w:styleId="25">
    <w:name w:val="annotation reference"/>
    <w:semiHidden/>
    <w:uiPriority w:val="99"/>
    <w:rPr>
      <w:sz w:val="21"/>
      <w:szCs w:val="21"/>
    </w:rPr>
  </w:style>
  <w:style w:type="character" w:styleId="26">
    <w:name w:val="footnote reference"/>
    <w:semiHidden/>
    <w:uiPriority w:val="99"/>
    <w:rPr>
      <w:vertAlign w:val="superscript"/>
    </w:rPr>
  </w:style>
  <w:style w:type="table" w:styleId="28">
    <w:name w:val="Table Grid"/>
    <w:basedOn w:val="27"/>
    <w:uiPriority w:val="99"/>
    <w:pPr/>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9">
    <w:name w:val="批注主题3"/>
    <w:basedOn w:val="7"/>
    <w:next w:val="7"/>
    <w:link w:val="218"/>
    <w:uiPriority w:val="99"/>
    <w:rPr>
      <w:b/>
      <w:bCs/>
    </w:rPr>
  </w:style>
  <w:style w:type="paragraph" w:customStyle="1" w:styleId="30">
    <w:name w:val="正文首行缩进1"/>
    <w:basedOn w:val="1"/>
    <w:link w:val="219"/>
    <w:uiPriority w:val="99"/>
    <w:pPr>
      <w:spacing w:after="120"/>
      <w:ind w:firstLine="200" w:firstLineChars="200"/>
    </w:pPr>
    <w:rPr>
      <w:sz w:val="28"/>
      <w:szCs w:val="28"/>
    </w:rPr>
  </w:style>
  <w:style w:type="paragraph" w:customStyle="1" w:styleId="31">
    <w:name w:val="正文文本缩进3"/>
    <w:basedOn w:val="1"/>
    <w:link w:val="221"/>
    <w:uiPriority w:val="99"/>
    <w:pPr>
      <w:ind w:firstLine="420" w:firstLineChars="200"/>
    </w:pPr>
  </w:style>
  <w:style w:type="paragraph" w:customStyle="1" w:styleId="32">
    <w:name w:val="纯文本1"/>
    <w:basedOn w:val="1"/>
    <w:link w:val="225"/>
    <w:uiPriority w:val="99"/>
    <w:rPr>
      <w:rFonts w:ascii="Calibri" w:hAnsi="Calibri" w:cs="Calibri"/>
      <w:color w:val="000000"/>
    </w:rPr>
  </w:style>
  <w:style w:type="paragraph" w:customStyle="1" w:styleId="33">
    <w:name w:val="HTML 预设格式2"/>
    <w:basedOn w:val="1"/>
    <w:link w:val="226"/>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cs="宋体"/>
      <w:kern w:val="0"/>
      <w:sz w:val="24"/>
      <w:szCs w:val="24"/>
    </w:rPr>
  </w:style>
  <w:style w:type="paragraph" w:customStyle="1" w:styleId="34">
    <w:name w:val="文档结构图1"/>
    <w:basedOn w:val="1"/>
    <w:link w:val="228"/>
    <w:uiPriority w:val="99"/>
    <w:pPr>
      <w:shd w:val="clear" w:color="auto" w:fill="000080"/>
    </w:pPr>
    <w:rPr>
      <w:shd w:val="clear" w:color="auto" w:fill="000080"/>
    </w:rPr>
  </w:style>
  <w:style w:type="paragraph" w:customStyle="1" w:styleId="35">
    <w:name w:val="xl68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sz w:val="24"/>
      <w:szCs w:val="24"/>
    </w:rPr>
  </w:style>
  <w:style w:type="paragraph" w:customStyle="1" w:styleId="36">
    <w:name w:val="修订4"/>
    <w:uiPriority w:val="99"/>
    <w:rPr>
      <w:rFonts w:ascii="Times New Roman" w:hAnsi="Times New Roman" w:eastAsia="宋体" w:cs="Times New Roman"/>
      <w:kern w:val="2"/>
      <w:sz w:val="21"/>
      <w:szCs w:val="21"/>
      <w:lang w:val="en-US" w:eastAsia="zh-CN" w:bidi="ar-SA"/>
    </w:rPr>
  </w:style>
  <w:style w:type="paragraph" w:customStyle="1" w:styleId="37">
    <w:name w:val="xl63"/>
    <w:basedOn w:val="1"/>
    <w:uiPriority w:val="99"/>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textAlignment w:val="center"/>
    </w:pPr>
    <w:rPr>
      <w:rFonts w:ascii="宋体" w:hAnsi="宋体" w:cs="宋体"/>
      <w:b/>
      <w:bCs/>
      <w:kern w:val="0"/>
      <w:sz w:val="24"/>
      <w:szCs w:val="24"/>
    </w:rPr>
  </w:style>
  <w:style w:type="paragraph" w:customStyle="1" w:styleId="38">
    <w:name w:val="xl69"/>
    <w:basedOn w:val="1"/>
    <w:uiPriority w:val="99"/>
    <w:pPr>
      <w:pBdr>
        <w:top w:val="single" w:color="auto" w:sz="8" w:space="0"/>
        <w:left w:val="single" w:color="auto" w:sz="8" w:space="0"/>
        <w:bottom w:val="single" w:color="auto" w:sz="8" w:space="0"/>
        <w:right w:val="single" w:color="auto" w:sz="8" w:space="0"/>
      </w:pBdr>
      <w:spacing w:before="100" w:beforeAutospacing="1" w:after="100" w:afterAutospacing="1"/>
    </w:pPr>
    <w:rPr>
      <w:rFonts w:ascii="宋体" w:hAnsi="宋体" w:cs="宋体"/>
      <w:kern w:val="0"/>
      <w:sz w:val="24"/>
      <w:szCs w:val="24"/>
    </w:rPr>
  </w:style>
  <w:style w:type="paragraph" w:customStyle="1" w:styleId="39">
    <w:name w:val="列出段落13"/>
    <w:basedOn w:val="1"/>
    <w:uiPriority w:val="99"/>
    <w:pPr>
      <w:widowControl w:val="0"/>
      <w:ind w:firstLine="420" w:firstLineChars="200"/>
      <w:jc w:val="both"/>
    </w:pPr>
    <w:rPr>
      <w:rFonts w:ascii="Calibri" w:hAnsi="Calibri" w:cs="Calibri"/>
    </w:rPr>
  </w:style>
  <w:style w:type="paragraph" w:customStyle="1" w:styleId="40">
    <w:name w:val="批注主题1"/>
    <w:basedOn w:val="7"/>
    <w:next w:val="7"/>
    <w:uiPriority w:val="99"/>
    <w:rPr>
      <w:b/>
      <w:bCs/>
    </w:rPr>
  </w:style>
  <w:style w:type="paragraph" w:customStyle="1" w:styleId="41">
    <w:name w:val="xl82"/>
    <w:basedOn w:val="1"/>
    <w:uiPriority w:val="99"/>
    <w:pPr>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1A1A1A"/>
      <w:kern w:val="0"/>
      <w:sz w:val="24"/>
      <w:szCs w:val="24"/>
    </w:rPr>
  </w:style>
  <w:style w:type="paragraph" w:customStyle="1" w:styleId="42">
    <w:name w:val="正文文本缩进1"/>
    <w:basedOn w:val="1"/>
    <w:uiPriority w:val="99"/>
    <w:pPr>
      <w:ind w:firstLine="420" w:firstLineChars="200"/>
    </w:pPr>
  </w:style>
  <w:style w:type="paragraph" w:customStyle="1" w:styleId="43">
    <w:name w:val="xl79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both"/>
      <w:textAlignment w:val="center"/>
    </w:pPr>
    <w:rPr>
      <w:rFonts w:ascii="宋体" w:hAnsi="宋体" w:cs="宋体"/>
      <w:kern w:val="0"/>
      <w:sz w:val="24"/>
      <w:szCs w:val="24"/>
    </w:rPr>
  </w:style>
  <w:style w:type="paragraph" w:customStyle="1" w:styleId="44">
    <w:name w:val="xl849239"/>
    <w:basedOn w:val="1"/>
    <w:uiPriority w:val="99"/>
    <w:pPr>
      <w:spacing w:before="100" w:beforeAutospacing="1" w:after="100" w:afterAutospacing="1"/>
      <w:jc w:val="center"/>
      <w:textAlignment w:val="center"/>
    </w:pPr>
    <w:rPr>
      <w:rFonts w:ascii="宋体" w:hAnsi="宋体" w:cs="宋体"/>
      <w:color w:val="000000"/>
      <w:kern w:val="0"/>
      <w:sz w:val="22"/>
      <w:szCs w:val="22"/>
    </w:rPr>
  </w:style>
  <w:style w:type="paragraph" w:customStyle="1" w:styleId="45">
    <w:name w:val="xl899239"/>
    <w:basedOn w:val="1"/>
    <w:uiPriority w:val="99"/>
    <w:pPr>
      <w:shd w:val="clear" w:color="000000" w:fill="FFFFFF"/>
      <w:spacing w:before="100" w:beforeAutospacing="1" w:after="100" w:afterAutospacing="1"/>
      <w:textAlignment w:val="center"/>
    </w:pPr>
    <w:rPr>
      <w:rFonts w:ascii="宋体" w:hAnsi="宋体" w:cs="宋体"/>
      <w:color w:val="000000"/>
      <w:kern w:val="0"/>
      <w:sz w:val="22"/>
      <w:szCs w:val="22"/>
    </w:rPr>
  </w:style>
  <w:style w:type="paragraph" w:customStyle="1" w:styleId="46">
    <w:name w:val="正文1"/>
    <w:uiPriority w:val="99"/>
    <w:pPr>
      <w:jc w:val="both"/>
    </w:pPr>
    <w:rPr>
      <w:rFonts w:ascii="Times New Roman" w:hAnsi="Times New Roman" w:eastAsia="宋体" w:cs="Times New Roman"/>
      <w:kern w:val="2"/>
      <w:sz w:val="21"/>
      <w:szCs w:val="21"/>
      <w:lang w:val="en-US" w:eastAsia="zh-CN" w:bidi="ar-SA"/>
    </w:rPr>
  </w:style>
  <w:style w:type="paragraph" w:customStyle="1" w:styleId="47">
    <w:name w:val="一级条标题"/>
    <w:next w:val="1"/>
    <w:uiPriority w:val="99"/>
    <w:pPr>
      <w:outlineLvl w:val="2"/>
    </w:pPr>
    <w:rPr>
      <w:rFonts w:ascii="Times New Roman" w:hAnsi="Times New Roman" w:eastAsia="黑体" w:cs="Times New Roman"/>
      <w:sz w:val="21"/>
      <w:szCs w:val="21"/>
      <w:lang w:val="en-US" w:eastAsia="zh-CN" w:bidi="ar-SA"/>
    </w:rPr>
  </w:style>
  <w:style w:type="paragraph" w:customStyle="1" w:styleId="48">
    <w:name w:val="TOC 标题3"/>
    <w:basedOn w:val="2"/>
    <w:next w:val="1"/>
    <w:uiPriority w:val="99"/>
    <w:pPr>
      <w:spacing w:before="480" w:after="0" w:line="276" w:lineRule="auto"/>
      <w:outlineLvl w:val="9"/>
    </w:pPr>
    <w:rPr>
      <w:rFonts w:ascii="Cambria" w:hAnsi="Cambria" w:cs="Cambria"/>
      <w:color w:val="365F90"/>
      <w:kern w:val="0"/>
      <w:sz w:val="28"/>
      <w:szCs w:val="28"/>
    </w:rPr>
  </w:style>
  <w:style w:type="paragraph" w:customStyle="1" w:styleId="49">
    <w:name w:val="xl1039239"/>
    <w:basedOn w:val="1"/>
    <w:uiPriority w:val="99"/>
    <w:pPr>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50">
    <w:name w:val="Char Char Char1 Char"/>
    <w:basedOn w:val="1"/>
    <w:uiPriority w:val="99"/>
  </w:style>
  <w:style w:type="paragraph" w:customStyle="1" w:styleId="51">
    <w:name w:val="xl71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both"/>
      <w:textAlignment w:val="bottom"/>
    </w:pPr>
    <w:rPr>
      <w:kern w:val="0"/>
    </w:rPr>
  </w:style>
  <w:style w:type="paragraph" w:customStyle="1" w:styleId="52">
    <w:name w:val="xl1169239"/>
    <w:basedOn w:val="1"/>
    <w:uiPriority w:val="99"/>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kern w:val="0"/>
      <w:sz w:val="24"/>
      <w:szCs w:val="24"/>
    </w:rPr>
  </w:style>
  <w:style w:type="paragraph" w:customStyle="1" w:styleId="53">
    <w:name w:val="修订1"/>
    <w:uiPriority w:val="99"/>
    <w:rPr>
      <w:rFonts w:ascii="Times New Roman" w:hAnsi="Times New Roman" w:eastAsia="宋体" w:cs="Times New Roman"/>
      <w:kern w:val="2"/>
      <w:sz w:val="21"/>
      <w:szCs w:val="21"/>
      <w:lang w:val="en-US" w:eastAsia="zh-CN" w:bidi="ar-SA"/>
    </w:rPr>
  </w:style>
  <w:style w:type="paragraph" w:customStyle="1" w:styleId="54">
    <w:name w:val="font5"/>
    <w:basedOn w:val="1"/>
    <w:uiPriority w:val="99"/>
    <w:pPr>
      <w:spacing w:before="100" w:beforeAutospacing="1" w:after="100" w:afterAutospacing="1"/>
    </w:pPr>
    <w:rPr>
      <w:rFonts w:ascii="宋体" w:hAnsi="宋体" w:cs="宋体"/>
      <w:kern w:val="0"/>
      <w:sz w:val="18"/>
      <w:szCs w:val="18"/>
    </w:rPr>
  </w:style>
  <w:style w:type="paragraph" w:customStyle="1" w:styleId="55">
    <w:name w:val="xl71"/>
    <w:basedOn w:val="1"/>
    <w:uiPriority w:val="99"/>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textAlignment w:val="center"/>
    </w:pPr>
    <w:rPr>
      <w:rFonts w:ascii="宋体" w:hAnsi="宋体" w:cs="宋体"/>
      <w:kern w:val="0"/>
      <w:sz w:val="24"/>
      <w:szCs w:val="24"/>
    </w:rPr>
  </w:style>
  <w:style w:type="paragraph" w:customStyle="1" w:styleId="56">
    <w:name w:val="font169239"/>
    <w:basedOn w:val="1"/>
    <w:uiPriority w:val="99"/>
    <w:pPr>
      <w:spacing w:before="100" w:beforeAutospacing="1" w:after="100" w:afterAutospacing="1"/>
    </w:pPr>
    <w:rPr>
      <w:rFonts w:ascii="Calibri" w:hAnsi="Calibri" w:cs="Calibri"/>
      <w:kern w:val="0"/>
      <w:sz w:val="22"/>
      <w:szCs w:val="22"/>
    </w:rPr>
  </w:style>
  <w:style w:type="paragraph" w:customStyle="1" w:styleId="57">
    <w:name w:val="xl1109239"/>
    <w:basedOn w:val="1"/>
    <w:uiPriority w:val="99"/>
    <w:pPr>
      <w:pBdr>
        <w:left w:val="single" w:color="auto" w:sz="4" w:space="1"/>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58">
    <w:name w:val="xl659239"/>
    <w:basedOn w:val="1"/>
    <w:uiPriority w:val="99"/>
    <w:pPr>
      <w:spacing w:before="100" w:beforeAutospacing="1" w:after="100" w:afterAutospacing="1"/>
      <w:jc w:val="center"/>
      <w:textAlignment w:val="center"/>
    </w:pPr>
    <w:rPr>
      <w:rFonts w:ascii="宋体" w:hAnsi="宋体" w:cs="宋体"/>
      <w:color w:val="000000"/>
      <w:kern w:val="0"/>
      <w:sz w:val="22"/>
      <w:szCs w:val="22"/>
    </w:rPr>
  </w:style>
  <w:style w:type="paragraph" w:customStyle="1" w:styleId="59">
    <w:name w:val="Char Char1 Char Char Char Char"/>
    <w:basedOn w:val="1"/>
    <w:uiPriority w:val="99"/>
  </w:style>
  <w:style w:type="paragraph" w:customStyle="1" w:styleId="60">
    <w:name w:val="font11"/>
    <w:basedOn w:val="1"/>
    <w:uiPriority w:val="99"/>
    <w:pPr>
      <w:spacing w:before="100" w:beforeAutospacing="1" w:after="100" w:afterAutospacing="1"/>
    </w:pPr>
    <w:rPr>
      <w:kern w:val="0"/>
      <w:sz w:val="22"/>
      <w:szCs w:val="22"/>
    </w:rPr>
  </w:style>
  <w:style w:type="paragraph" w:customStyle="1" w:styleId="61">
    <w:name w:val="批注主题2"/>
    <w:basedOn w:val="7"/>
    <w:next w:val="7"/>
    <w:uiPriority w:val="99"/>
    <w:rPr>
      <w:b/>
      <w:bCs/>
    </w:rPr>
  </w:style>
  <w:style w:type="paragraph" w:customStyle="1" w:styleId="62">
    <w:name w:val="xl1219239"/>
    <w:basedOn w:val="1"/>
    <w:uiPriority w:val="99"/>
    <w:pPr>
      <w:pBdr>
        <w:top w:val="single" w:color="auto" w:sz="4" w:space="1"/>
        <w:left w:val="single" w:color="auto" w:sz="4" w:space="1"/>
        <w:right w:val="single" w:color="auto" w:sz="4" w:space="1"/>
      </w:pBdr>
      <w:spacing w:before="100" w:beforeAutospacing="1" w:after="100" w:afterAutospacing="1"/>
      <w:textAlignment w:val="center"/>
    </w:pPr>
    <w:rPr>
      <w:rFonts w:ascii="宋体" w:hAnsi="宋体" w:cs="宋体"/>
      <w:kern w:val="0"/>
      <w:sz w:val="24"/>
      <w:szCs w:val="24"/>
    </w:rPr>
  </w:style>
  <w:style w:type="paragraph" w:customStyle="1" w:styleId="63">
    <w:name w:val="xl1069239"/>
    <w:basedOn w:val="1"/>
    <w:uiPriority w:val="99"/>
    <w:pPr>
      <w:pBdr>
        <w:top w:val="single" w:color="auto" w:sz="4" w:space="1"/>
        <w:left w:val="single" w:color="auto" w:sz="4" w:space="1"/>
        <w:right w:val="single" w:color="auto" w:sz="4" w:space="1"/>
      </w:pBdr>
      <w:spacing w:before="100" w:beforeAutospacing="1" w:after="100" w:afterAutospacing="1"/>
      <w:textAlignment w:val="center"/>
    </w:pPr>
    <w:rPr>
      <w:rFonts w:ascii="宋体" w:hAnsi="宋体" w:cs="宋体"/>
      <w:kern w:val="0"/>
      <w:sz w:val="22"/>
      <w:szCs w:val="22"/>
    </w:rPr>
  </w:style>
  <w:style w:type="paragraph" w:customStyle="1" w:styleId="64">
    <w:name w:val="xl82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rPr>
  </w:style>
  <w:style w:type="paragraph" w:customStyle="1" w:styleId="65">
    <w:name w:val="xl649239"/>
    <w:basedOn w:val="1"/>
    <w:uiPriority w:val="99"/>
    <w:pPr>
      <w:spacing w:before="100" w:beforeAutospacing="1" w:after="100" w:afterAutospacing="1"/>
      <w:textAlignment w:val="center"/>
    </w:pPr>
    <w:rPr>
      <w:rFonts w:ascii="宋体" w:hAnsi="宋体" w:cs="宋体"/>
      <w:color w:val="000000"/>
      <w:kern w:val="0"/>
      <w:sz w:val="22"/>
      <w:szCs w:val="22"/>
    </w:rPr>
  </w:style>
  <w:style w:type="paragraph" w:customStyle="1" w:styleId="66">
    <w:name w:val="TOC 标题2"/>
    <w:basedOn w:val="2"/>
    <w:next w:val="1"/>
    <w:uiPriority w:val="99"/>
    <w:pPr>
      <w:spacing w:before="480" w:after="0" w:line="276" w:lineRule="auto"/>
      <w:outlineLvl w:val="9"/>
    </w:pPr>
    <w:rPr>
      <w:rFonts w:ascii="Cambria" w:hAnsi="Cambria" w:cs="Cambria"/>
      <w:color w:val="365F90"/>
      <w:kern w:val="0"/>
      <w:sz w:val="28"/>
      <w:szCs w:val="28"/>
    </w:rPr>
  </w:style>
  <w:style w:type="paragraph" w:customStyle="1" w:styleId="67">
    <w:name w:val="xl1059239"/>
    <w:basedOn w:val="1"/>
    <w:uiPriority w:val="99"/>
    <w:pPr>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68">
    <w:name w:val="三级条标题"/>
    <w:basedOn w:val="69"/>
    <w:next w:val="1"/>
    <w:uiPriority w:val="99"/>
    <w:pPr>
      <w:ind w:left="945"/>
      <w:outlineLvl w:val="4"/>
    </w:pPr>
  </w:style>
  <w:style w:type="paragraph" w:customStyle="1" w:styleId="69">
    <w:name w:val="二级条标题"/>
    <w:basedOn w:val="47"/>
    <w:next w:val="1"/>
    <w:uiPriority w:val="99"/>
    <w:pPr>
      <w:ind w:left="706"/>
      <w:outlineLvl w:val="3"/>
    </w:pPr>
  </w:style>
  <w:style w:type="paragraph" w:customStyle="1" w:styleId="70">
    <w:name w:val="xl72"/>
    <w:basedOn w:val="1"/>
    <w:uiPriority w:val="99"/>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textAlignment w:val="center"/>
    </w:pPr>
    <w:rPr>
      <w:rFonts w:ascii="宋体" w:hAnsi="宋体" w:cs="宋体"/>
      <w:b/>
      <w:bCs/>
      <w:color w:val="FF0000"/>
      <w:kern w:val="0"/>
      <w:sz w:val="24"/>
      <w:szCs w:val="24"/>
    </w:rPr>
  </w:style>
  <w:style w:type="paragraph" w:customStyle="1" w:styleId="71">
    <w:name w:val="TOC 标题4"/>
    <w:basedOn w:val="2"/>
    <w:next w:val="1"/>
    <w:uiPriority w:val="99"/>
    <w:pPr>
      <w:spacing w:before="480" w:after="0" w:line="276" w:lineRule="auto"/>
      <w:outlineLvl w:val="9"/>
    </w:pPr>
    <w:rPr>
      <w:rFonts w:ascii="Cambria" w:hAnsi="Cambria" w:cs="Cambria"/>
      <w:color w:val="365F91"/>
      <w:kern w:val="0"/>
      <w:sz w:val="28"/>
      <w:szCs w:val="28"/>
    </w:rPr>
  </w:style>
  <w:style w:type="paragraph" w:customStyle="1" w:styleId="72">
    <w:name w:val="font13"/>
    <w:basedOn w:val="1"/>
    <w:uiPriority w:val="99"/>
    <w:pPr>
      <w:spacing w:before="100" w:beforeAutospacing="1" w:after="100" w:afterAutospacing="1"/>
    </w:pPr>
    <w:rPr>
      <w:rFonts w:ascii="宋体" w:hAnsi="宋体" w:cs="宋体"/>
      <w:kern w:val="0"/>
      <w:sz w:val="22"/>
      <w:szCs w:val="22"/>
    </w:rPr>
  </w:style>
  <w:style w:type="paragraph" w:customStyle="1" w:styleId="73">
    <w:name w:val="HTML 预设格式1"/>
    <w:basedOn w:va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customStyle="1" w:styleId="74">
    <w:name w:val="xl73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both"/>
      <w:textAlignment w:val="center"/>
    </w:pPr>
    <w:rPr>
      <w:kern w:val="0"/>
    </w:rPr>
  </w:style>
  <w:style w:type="paragraph" w:customStyle="1" w:styleId="75">
    <w:name w:val="font7"/>
    <w:basedOn w:val="1"/>
    <w:uiPriority w:val="99"/>
    <w:pPr>
      <w:spacing w:before="100" w:beforeAutospacing="1" w:after="100" w:afterAutospacing="1"/>
    </w:pPr>
    <w:rPr>
      <w:rFonts w:ascii="宋体" w:hAnsi="宋体" w:cs="宋体"/>
      <w:color w:val="000000"/>
      <w:kern w:val="0"/>
      <w:sz w:val="22"/>
      <w:szCs w:val="22"/>
    </w:rPr>
  </w:style>
  <w:style w:type="paragraph" w:customStyle="1" w:styleId="76">
    <w:name w:val="xl1249239"/>
    <w:basedOn w:val="1"/>
    <w:uiPriority w:val="99"/>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kern w:val="0"/>
      <w:sz w:val="24"/>
      <w:szCs w:val="24"/>
    </w:rPr>
  </w:style>
  <w:style w:type="paragraph" w:customStyle="1" w:styleId="77">
    <w:name w:val="xl80"/>
    <w:basedOn w:val="1"/>
    <w:uiPriority w:val="99"/>
    <w:pPr>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 w:val="24"/>
      <w:szCs w:val="24"/>
    </w:rPr>
  </w:style>
  <w:style w:type="paragraph" w:customStyle="1" w:styleId="78">
    <w:name w:val="xl72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rPr>
  </w:style>
  <w:style w:type="paragraph" w:customStyle="1" w:styleId="79">
    <w:name w:val="xl75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sz w:val="22"/>
      <w:szCs w:val="22"/>
    </w:rPr>
  </w:style>
  <w:style w:type="paragraph" w:customStyle="1" w:styleId="80">
    <w:name w:val="xl769239"/>
    <w:basedOn w:val="1"/>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rFonts w:ascii="宋体" w:hAnsi="宋体" w:cs="宋体"/>
      <w:kern w:val="0"/>
      <w:sz w:val="22"/>
      <w:szCs w:val="22"/>
    </w:rPr>
  </w:style>
  <w:style w:type="paragraph" w:customStyle="1" w:styleId="81">
    <w:name w:val="font69239"/>
    <w:basedOn w:val="1"/>
    <w:uiPriority w:val="99"/>
    <w:pPr>
      <w:spacing w:before="100" w:beforeAutospacing="1" w:after="100" w:afterAutospacing="1"/>
    </w:pPr>
    <w:rPr>
      <w:rFonts w:ascii="宋体" w:hAnsi="宋体" w:cs="宋体"/>
      <w:kern w:val="0"/>
      <w:sz w:val="22"/>
      <w:szCs w:val="22"/>
    </w:rPr>
  </w:style>
  <w:style w:type="paragraph" w:customStyle="1" w:styleId="82">
    <w:name w:val="xl64"/>
    <w:basedOn w:val="1"/>
    <w:uiPriority w:val="99"/>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textAlignment w:val="center"/>
    </w:pPr>
    <w:rPr>
      <w:rFonts w:ascii="宋体" w:hAnsi="宋体" w:cs="宋体"/>
      <w:kern w:val="0"/>
      <w:sz w:val="24"/>
      <w:szCs w:val="24"/>
    </w:rPr>
  </w:style>
  <w:style w:type="paragraph" w:customStyle="1" w:styleId="83">
    <w:name w:val="font9"/>
    <w:basedOn w:val="1"/>
    <w:uiPriority w:val="99"/>
    <w:pPr>
      <w:spacing w:before="100" w:beforeAutospacing="1" w:after="100" w:afterAutospacing="1"/>
    </w:pPr>
    <w:rPr>
      <w:rFonts w:ascii="宋体" w:hAnsi="宋体" w:cs="宋体"/>
      <w:color w:val="1A1A1A"/>
      <w:kern w:val="0"/>
      <w:sz w:val="22"/>
      <w:szCs w:val="22"/>
    </w:rPr>
  </w:style>
  <w:style w:type="paragraph" w:customStyle="1" w:styleId="84">
    <w:name w:val="xl959239"/>
    <w:basedOn w:val="1"/>
    <w:uiPriority w:val="99"/>
    <w:pPr>
      <w:spacing w:before="100" w:beforeAutospacing="1" w:after="100" w:afterAutospacing="1"/>
      <w:jc w:val="center"/>
      <w:textAlignment w:val="center"/>
    </w:pPr>
    <w:rPr>
      <w:rFonts w:ascii="宋体" w:hAnsi="宋体" w:cs="宋体"/>
      <w:kern w:val="0"/>
      <w:sz w:val="22"/>
      <w:szCs w:val="22"/>
    </w:rPr>
  </w:style>
  <w:style w:type="paragraph" w:customStyle="1" w:styleId="85">
    <w:name w:val="font99239"/>
    <w:basedOn w:val="1"/>
    <w:uiPriority w:val="99"/>
    <w:pPr>
      <w:spacing w:before="100" w:beforeAutospacing="1" w:after="100" w:afterAutospacing="1"/>
    </w:pPr>
    <w:rPr>
      <w:rFonts w:ascii="Calibri" w:hAnsi="Calibri" w:cs="Calibri"/>
      <w:kern w:val="0"/>
    </w:rPr>
  </w:style>
  <w:style w:type="paragraph" w:customStyle="1" w:styleId="86">
    <w:name w:val="font89239"/>
    <w:basedOn w:val="1"/>
    <w:uiPriority w:val="99"/>
    <w:pPr>
      <w:spacing w:before="100" w:beforeAutospacing="1" w:after="100" w:afterAutospacing="1"/>
    </w:pPr>
    <w:rPr>
      <w:rFonts w:ascii="宋体" w:hAnsi="宋体" w:cs="宋体"/>
      <w:kern w:val="0"/>
      <w:sz w:val="22"/>
      <w:szCs w:val="22"/>
    </w:rPr>
  </w:style>
  <w:style w:type="paragraph" w:customStyle="1" w:styleId="87">
    <w:name w:val="普通(网站)1"/>
    <w:uiPriority w:val="99"/>
    <w:pPr>
      <w:spacing w:before="100" w:beforeAutospacing="1" w:after="100" w:afterAutospacing="1"/>
    </w:pPr>
    <w:rPr>
      <w:rFonts w:ascii="宋体" w:hAnsi="宋体" w:eastAsia="宋体" w:cs="宋体"/>
      <w:sz w:val="24"/>
      <w:szCs w:val="24"/>
      <w:lang w:val="en-US" w:eastAsia="zh-CN" w:bidi="ar-SA"/>
    </w:rPr>
  </w:style>
  <w:style w:type="paragraph" w:customStyle="1" w:styleId="88">
    <w:name w:val="font179239"/>
    <w:basedOn w:val="1"/>
    <w:uiPriority w:val="99"/>
    <w:pPr>
      <w:spacing w:before="100" w:beforeAutospacing="1" w:after="100" w:afterAutospacing="1"/>
    </w:pPr>
    <w:rPr>
      <w:kern w:val="0"/>
      <w:sz w:val="24"/>
      <w:szCs w:val="24"/>
    </w:rPr>
  </w:style>
  <w:style w:type="paragraph" w:customStyle="1" w:styleId="89">
    <w:name w:val="xl77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sz w:val="24"/>
      <w:szCs w:val="24"/>
    </w:rPr>
  </w:style>
  <w:style w:type="paragraph" w:customStyle="1" w:styleId="90">
    <w:name w:val="xl78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sz w:val="24"/>
      <w:szCs w:val="24"/>
    </w:rPr>
  </w:style>
  <w:style w:type="paragraph" w:customStyle="1" w:styleId="91">
    <w:name w:val="xl1129239"/>
    <w:basedOn w:val="1"/>
    <w:uiPriority w:val="99"/>
    <w:pPr>
      <w:pBdr>
        <w:left w:val="single" w:color="auto" w:sz="4" w:space="1"/>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92">
    <w:name w:val="xl909239"/>
    <w:basedOn w:val="1"/>
    <w:uiPriority w:val="99"/>
    <w:pPr>
      <w:spacing w:before="100" w:beforeAutospacing="1" w:after="100" w:afterAutospacing="1"/>
      <w:textAlignment w:val="center"/>
    </w:pPr>
    <w:rPr>
      <w:rFonts w:ascii="宋体" w:hAnsi="宋体" w:cs="宋体"/>
      <w:color w:val="000000"/>
      <w:kern w:val="0"/>
      <w:sz w:val="22"/>
      <w:szCs w:val="22"/>
    </w:rPr>
  </w:style>
  <w:style w:type="paragraph" w:customStyle="1" w:styleId="93">
    <w:name w:val="font10"/>
    <w:basedOn w:val="1"/>
    <w:uiPriority w:val="99"/>
    <w:pPr>
      <w:spacing w:before="100" w:beforeAutospacing="1" w:after="100" w:afterAutospacing="1"/>
    </w:pPr>
    <w:rPr>
      <w:color w:val="000000"/>
      <w:kern w:val="0"/>
      <w:sz w:val="22"/>
      <w:szCs w:val="22"/>
    </w:rPr>
  </w:style>
  <w:style w:type="paragraph" w:customStyle="1" w:styleId="94">
    <w:name w:val="规划正文"/>
    <w:basedOn w:val="1"/>
    <w:uiPriority w:val="99"/>
    <w:pPr>
      <w:ind w:firstLine="390" w:firstLineChars="200"/>
    </w:pPr>
    <w:rPr>
      <w:rFonts w:eastAsia="仿宋_GB2312"/>
      <w:sz w:val="32"/>
      <w:szCs w:val="32"/>
    </w:rPr>
  </w:style>
  <w:style w:type="paragraph" w:customStyle="1" w:styleId="95">
    <w:name w:val="xl989239"/>
    <w:basedOn w:val="1"/>
    <w:uiPriority w:val="99"/>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96">
    <w:name w:val="xl74"/>
    <w:basedOn w:val="1"/>
    <w:uiPriority w:val="99"/>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textAlignment w:val="top"/>
    </w:pPr>
    <w:rPr>
      <w:rFonts w:ascii="宋体" w:hAnsi="宋体" w:cs="宋体"/>
      <w:color w:val="1A1A1A"/>
      <w:kern w:val="0"/>
      <w:sz w:val="24"/>
      <w:szCs w:val="24"/>
    </w:rPr>
  </w:style>
  <w:style w:type="paragraph" w:customStyle="1" w:styleId="97">
    <w:name w:val="列出段落1"/>
    <w:basedOn w:val="1"/>
    <w:uiPriority w:val="99"/>
    <w:pPr>
      <w:ind w:firstLine="420" w:firstLineChars="200"/>
    </w:pPr>
  </w:style>
  <w:style w:type="paragraph" w:customStyle="1" w:styleId="98">
    <w:name w:val="font219239"/>
    <w:basedOn w:val="1"/>
    <w:uiPriority w:val="99"/>
    <w:pPr>
      <w:spacing w:before="100" w:beforeAutospacing="1" w:after="100" w:afterAutospacing="1"/>
    </w:pPr>
    <w:rPr>
      <w:kern w:val="0"/>
      <w:sz w:val="20"/>
      <w:szCs w:val="20"/>
    </w:rPr>
  </w:style>
  <w:style w:type="paragraph" w:customStyle="1" w:styleId="99">
    <w:name w:val="font119239"/>
    <w:basedOn w:val="1"/>
    <w:uiPriority w:val="99"/>
    <w:pPr>
      <w:spacing w:before="100" w:beforeAutospacing="1" w:after="100" w:afterAutospacing="1"/>
    </w:pPr>
    <w:rPr>
      <w:rFonts w:ascii="宋体" w:hAnsi="宋体" w:cs="宋体"/>
      <w:kern w:val="0"/>
      <w:sz w:val="22"/>
      <w:szCs w:val="22"/>
    </w:rPr>
  </w:style>
  <w:style w:type="paragraph" w:customStyle="1" w:styleId="100">
    <w:name w:val="xl67"/>
    <w:basedOn w:val="1"/>
    <w:uiPriority w:val="99"/>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textAlignment w:val="center"/>
    </w:pPr>
    <w:rPr>
      <w:rFonts w:ascii="宋体" w:hAnsi="宋体" w:cs="宋体"/>
      <w:color w:val="000000"/>
      <w:kern w:val="0"/>
      <w:sz w:val="24"/>
      <w:szCs w:val="24"/>
    </w:rPr>
  </w:style>
  <w:style w:type="paragraph" w:customStyle="1" w:styleId="101">
    <w:name w:val="正文图标题"/>
    <w:next w:val="1"/>
    <w:uiPriority w:val="99"/>
    <w:pPr>
      <w:numPr>
        <w:ilvl w:val="0"/>
        <w:numId w:val="1"/>
      </w:numPr>
      <w:jc w:val="center"/>
    </w:pPr>
    <w:rPr>
      <w:rFonts w:ascii="黑体" w:hAnsi="Times New Roman" w:eastAsia="黑体" w:cs="黑体"/>
      <w:sz w:val="21"/>
      <w:szCs w:val="21"/>
      <w:lang w:val="en-US" w:eastAsia="zh-CN" w:bidi="ar-SA"/>
    </w:rPr>
  </w:style>
  <w:style w:type="paragraph" w:customStyle="1" w:styleId="102">
    <w:name w:val="xl78"/>
    <w:basedOn w:val="1"/>
    <w:uiPriority w:val="99"/>
    <w:pPr>
      <w:spacing w:before="100" w:beforeAutospacing="1" w:after="100" w:afterAutospacing="1"/>
    </w:pPr>
    <w:rPr>
      <w:kern w:val="0"/>
      <w:sz w:val="24"/>
      <w:szCs w:val="24"/>
    </w:rPr>
  </w:style>
  <w:style w:type="paragraph" w:customStyle="1" w:styleId="103">
    <w:name w:val="xl79"/>
    <w:basedOn w:val="1"/>
    <w:uiPriority w:val="99"/>
    <w:pPr>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 w:val="24"/>
      <w:szCs w:val="24"/>
    </w:rPr>
  </w:style>
  <w:style w:type="paragraph" w:customStyle="1" w:styleId="104">
    <w:name w:val="font6"/>
    <w:basedOn w:val="1"/>
    <w:uiPriority w:val="99"/>
    <w:pPr>
      <w:spacing w:before="100" w:beforeAutospacing="1" w:after="100" w:afterAutospacing="1"/>
    </w:pPr>
    <w:rPr>
      <w:rFonts w:ascii="宋体" w:hAnsi="宋体" w:cs="宋体"/>
      <w:color w:val="000000"/>
      <w:kern w:val="0"/>
      <w:sz w:val="22"/>
      <w:szCs w:val="22"/>
    </w:rPr>
  </w:style>
  <w:style w:type="paragraph" w:customStyle="1" w:styleId="105">
    <w:name w:val="列出段落4"/>
    <w:basedOn w:val="1"/>
    <w:uiPriority w:val="99"/>
    <w:pPr>
      <w:ind w:firstLine="420" w:firstLineChars="200"/>
    </w:pPr>
  </w:style>
  <w:style w:type="paragraph" w:customStyle="1" w:styleId="106">
    <w:name w:val="xl65"/>
    <w:basedOn w:val="1"/>
    <w:uiPriority w:val="99"/>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textAlignment w:val="center"/>
    </w:pPr>
    <w:rPr>
      <w:rFonts w:ascii="宋体" w:hAnsi="宋体" w:cs="宋体"/>
      <w:color w:val="1A1A1A"/>
      <w:kern w:val="0"/>
      <w:sz w:val="24"/>
      <w:szCs w:val="24"/>
    </w:rPr>
  </w:style>
  <w:style w:type="paragraph" w:customStyle="1" w:styleId="107">
    <w:name w:val="xl115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4"/>
      <w:szCs w:val="24"/>
    </w:rPr>
  </w:style>
  <w:style w:type="paragraph" w:customStyle="1" w:styleId="108">
    <w:name w:val="xl939239"/>
    <w:basedOn w:val="1"/>
    <w:uiPriority w:val="99"/>
    <w:pPr>
      <w:spacing w:before="100" w:beforeAutospacing="1" w:after="100" w:afterAutospacing="1"/>
      <w:textAlignment w:val="center"/>
    </w:pPr>
    <w:rPr>
      <w:rFonts w:ascii="宋体" w:hAnsi="宋体" w:cs="宋体"/>
      <w:color w:val="00B050"/>
      <w:kern w:val="0"/>
      <w:sz w:val="22"/>
      <w:szCs w:val="22"/>
    </w:rPr>
  </w:style>
  <w:style w:type="paragraph" w:customStyle="1" w:styleId="109">
    <w:name w:val="font129239"/>
    <w:basedOn w:val="1"/>
    <w:uiPriority w:val="99"/>
    <w:pPr>
      <w:spacing w:before="100" w:beforeAutospacing="1" w:after="100" w:afterAutospacing="1"/>
    </w:pPr>
    <w:rPr>
      <w:rFonts w:ascii="宋体" w:hAnsi="宋体" w:cs="宋体"/>
      <w:kern w:val="0"/>
      <w:sz w:val="18"/>
      <w:szCs w:val="18"/>
    </w:rPr>
  </w:style>
  <w:style w:type="paragraph" w:customStyle="1" w:styleId="110">
    <w:name w:val="列出段落7"/>
    <w:basedOn w:val="1"/>
    <w:uiPriority w:val="99"/>
    <w:pPr>
      <w:ind w:firstLine="420" w:firstLineChars="200"/>
    </w:pPr>
  </w:style>
  <w:style w:type="paragraph" w:customStyle="1" w:styleId="111">
    <w:name w:val="图表脚注"/>
    <w:next w:val="1"/>
    <w:uiPriority w:val="99"/>
    <w:pPr>
      <w:jc w:val="both"/>
    </w:pPr>
    <w:rPr>
      <w:rFonts w:ascii="宋体" w:hAnsi="Times New Roman" w:eastAsia="宋体" w:cs="宋体"/>
      <w:sz w:val="18"/>
      <w:szCs w:val="18"/>
      <w:lang w:val="en-US" w:eastAsia="zh-CN" w:bidi="ar-SA"/>
    </w:rPr>
  </w:style>
  <w:style w:type="paragraph" w:customStyle="1" w:styleId="112">
    <w:name w:val="font8"/>
    <w:basedOn w:val="1"/>
    <w:uiPriority w:val="99"/>
    <w:pPr>
      <w:spacing w:before="100" w:beforeAutospacing="1" w:after="100" w:afterAutospacing="1"/>
    </w:pPr>
    <w:rPr>
      <w:rFonts w:ascii="宋体" w:hAnsi="宋体" w:cs="宋体"/>
      <w:b/>
      <w:bCs/>
      <w:color w:val="000000"/>
      <w:kern w:val="0"/>
      <w:sz w:val="22"/>
      <w:szCs w:val="22"/>
    </w:rPr>
  </w:style>
  <w:style w:type="paragraph" w:customStyle="1" w:styleId="113">
    <w:name w:val="正文文本缩进2"/>
    <w:basedOn w:val="1"/>
    <w:uiPriority w:val="99"/>
    <w:pPr>
      <w:ind w:firstLine="420" w:firstLineChars="200"/>
    </w:pPr>
  </w:style>
  <w:style w:type="paragraph" w:customStyle="1" w:styleId="114">
    <w:name w:val="xl1119239"/>
    <w:basedOn w:val="1"/>
    <w:uiPriority w:val="99"/>
    <w:pPr>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15">
    <w:name w:val="xl1049239"/>
    <w:basedOn w:val="1"/>
    <w:uiPriority w:val="99"/>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16">
    <w:name w:val="xl77"/>
    <w:basedOn w:val="1"/>
    <w:uiPriority w:val="99"/>
    <w:pPr>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kern w:val="0"/>
      <w:sz w:val="24"/>
      <w:szCs w:val="24"/>
    </w:rPr>
  </w:style>
  <w:style w:type="paragraph" w:customStyle="1" w:styleId="117">
    <w:name w:val="xl1089239"/>
    <w:basedOn w:val="1"/>
    <w:uiPriority w:val="99"/>
    <w:pPr>
      <w:pBdr>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sz w:val="22"/>
      <w:szCs w:val="22"/>
    </w:rPr>
  </w:style>
  <w:style w:type="paragraph" w:customStyle="1" w:styleId="118">
    <w:name w:val="font149239"/>
    <w:basedOn w:val="1"/>
    <w:uiPriority w:val="99"/>
    <w:pPr>
      <w:spacing w:before="100" w:beforeAutospacing="1" w:after="100" w:afterAutospacing="1"/>
    </w:pPr>
    <w:rPr>
      <w:rFonts w:ascii="Arial" w:hAnsi="Arial" w:cs="Arial"/>
      <w:kern w:val="0"/>
      <w:sz w:val="22"/>
      <w:szCs w:val="22"/>
    </w:rPr>
  </w:style>
  <w:style w:type="paragraph" w:customStyle="1" w:styleId="119">
    <w:name w:val="列出段落5"/>
    <w:basedOn w:val="1"/>
    <w:uiPriority w:val="99"/>
    <w:pPr>
      <w:ind w:firstLine="420" w:firstLineChars="200"/>
    </w:pPr>
  </w:style>
  <w:style w:type="paragraph" w:customStyle="1" w:styleId="120">
    <w:name w:val="xl979239"/>
    <w:basedOn w:val="1"/>
    <w:uiPriority w:val="99"/>
    <w:pPr>
      <w:spacing w:before="100" w:beforeAutospacing="1" w:after="100" w:afterAutospacing="1"/>
      <w:textAlignment w:val="center"/>
    </w:pPr>
    <w:rPr>
      <w:rFonts w:ascii="宋体" w:hAnsi="宋体" w:cs="宋体"/>
      <w:color w:val="000000"/>
      <w:kern w:val="0"/>
      <w:sz w:val="22"/>
      <w:szCs w:val="22"/>
    </w:rPr>
  </w:style>
  <w:style w:type="paragraph" w:customStyle="1" w:styleId="121">
    <w:name w:val="xl73"/>
    <w:basedOn w:val="1"/>
    <w:uiPriority w:val="99"/>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textAlignment w:val="center"/>
    </w:pPr>
    <w:rPr>
      <w:rFonts w:ascii="宋体" w:hAnsi="宋体" w:cs="宋体"/>
      <w:b/>
      <w:bCs/>
      <w:color w:val="000000"/>
      <w:kern w:val="0"/>
      <w:sz w:val="24"/>
      <w:szCs w:val="24"/>
    </w:rPr>
  </w:style>
  <w:style w:type="paragraph" w:customStyle="1" w:styleId="122">
    <w:name w:val="xl1199239"/>
    <w:basedOn w:val="1"/>
    <w:uiPriority w:val="99"/>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kern w:val="0"/>
      <w:sz w:val="24"/>
      <w:szCs w:val="24"/>
    </w:rPr>
  </w:style>
  <w:style w:type="paragraph" w:customStyle="1" w:styleId="123">
    <w:name w:val="xl919239"/>
    <w:basedOn w:val="1"/>
    <w:uiPriority w:val="99"/>
    <w:pPr>
      <w:spacing w:before="100" w:beforeAutospacing="1" w:after="100" w:afterAutospacing="1"/>
      <w:textAlignment w:val="center"/>
    </w:pPr>
    <w:rPr>
      <w:rFonts w:ascii="宋体" w:hAnsi="宋体" w:cs="宋体"/>
      <w:kern w:val="0"/>
      <w:sz w:val="22"/>
      <w:szCs w:val="22"/>
    </w:rPr>
  </w:style>
  <w:style w:type="paragraph" w:customStyle="1" w:styleId="124">
    <w:name w:val="xl114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4"/>
      <w:szCs w:val="24"/>
    </w:rPr>
  </w:style>
  <w:style w:type="paragraph" w:customStyle="1" w:styleId="125">
    <w:name w:val="xl68"/>
    <w:basedOn w:val="1"/>
    <w:uiPriority w:val="99"/>
    <w:pPr>
      <w:spacing w:before="100" w:beforeAutospacing="1" w:after="100" w:afterAutospacing="1"/>
      <w:textAlignment w:val="center"/>
    </w:pPr>
    <w:rPr>
      <w:rFonts w:ascii="宋体" w:hAnsi="宋体" w:cs="宋体"/>
      <w:kern w:val="0"/>
      <w:sz w:val="24"/>
      <w:szCs w:val="24"/>
    </w:rPr>
  </w:style>
  <w:style w:type="paragraph" w:customStyle="1" w:styleId="126">
    <w:name w:val="列出段落2"/>
    <w:basedOn w:val="1"/>
    <w:uiPriority w:val="99"/>
    <w:pPr>
      <w:ind w:firstLine="420" w:firstLineChars="200"/>
    </w:pPr>
  </w:style>
  <w:style w:type="paragraph" w:customStyle="1" w:styleId="127">
    <w:name w:val="font199239"/>
    <w:basedOn w:val="1"/>
    <w:uiPriority w:val="99"/>
    <w:pPr>
      <w:spacing w:before="100" w:beforeAutospacing="1" w:after="100" w:afterAutospacing="1"/>
    </w:pPr>
    <w:rPr>
      <w:rFonts w:ascii="Arial" w:hAnsi="Arial" w:cs="Arial"/>
      <w:kern w:val="0"/>
      <w:sz w:val="24"/>
      <w:szCs w:val="24"/>
    </w:rPr>
  </w:style>
  <w:style w:type="paragraph" w:customStyle="1" w:styleId="128">
    <w:name w:val="Char Char Char Char"/>
    <w:basedOn w:val="1"/>
    <w:uiPriority w:val="99"/>
    <w:pPr>
      <w:spacing w:after="160" w:line="360" w:lineRule="auto"/>
    </w:pPr>
    <w:rPr>
      <w:rFonts w:ascii="仿宋_GB2312" w:hAnsi="Verdana" w:eastAsia="仿宋_GB2312" w:cs="仿宋_GB2312"/>
      <w:kern w:val="0"/>
      <w:sz w:val="32"/>
      <w:szCs w:val="32"/>
      <w:lang w:eastAsia="en-US"/>
    </w:rPr>
  </w:style>
  <w:style w:type="paragraph" w:customStyle="1" w:styleId="129">
    <w:name w:val="xl1019239"/>
    <w:basedOn w:val="1"/>
    <w:uiPriority w:val="99"/>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30">
    <w:name w:val="xl1269239"/>
    <w:basedOn w:val="1"/>
    <w:uiPriority w:val="99"/>
    <w:pPr>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4"/>
      <w:szCs w:val="24"/>
    </w:rPr>
  </w:style>
  <w:style w:type="paragraph" w:customStyle="1" w:styleId="131">
    <w:name w:val="font109239"/>
    <w:basedOn w:val="1"/>
    <w:uiPriority w:val="99"/>
    <w:pPr>
      <w:spacing w:before="100" w:beforeAutospacing="1" w:after="100" w:afterAutospacing="1"/>
    </w:pPr>
    <w:rPr>
      <w:rFonts w:ascii="宋体" w:hAnsi="宋体" w:cs="宋体"/>
      <w:kern w:val="0"/>
      <w:sz w:val="22"/>
      <w:szCs w:val="22"/>
    </w:rPr>
  </w:style>
  <w:style w:type="paragraph" w:customStyle="1" w:styleId="132">
    <w:name w:val="章标题"/>
    <w:next w:val="1"/>
    <w:uiPriority w:val="99"/>
    <w:pPr>
      <w:spacing w:beforeLines="50" w:afterLines="50"/>
      <w:jc w:val="both"/>
      <w:outlineLvl w:val="1"/>
    </w:pPr>
    <w:rPr>
      <w:rFonts w:ascii="黑体" w:hAnsi="Times New Roman" w:eastAsia="黑体" w:cs="黑体"/>
      <w:sz w:val="21"/>
      <w:szCs w:val="21"/>
      <w:lang w:val="en-US" w:eastAsia="zh-CN" w:bidi="ar-SA"/>
    </w:rPr>
  </w:style>
  <w:style w:type="paragraph" w:customStyle="1" w:styleId="133">
    <w:name w:val="列出段落9"/>
    <w:basedOn w:val="1"/>
    <w:uiPriority w:val="99"/>
    <w:pPr>
      <w:ind w:firstLine="420" w:firstLineChars="200"/>
    </w:pPr>
  </w:style>
  <w:style w:type="paragraph" w:customStyle="1" w:styleId="134">
    <w:name w:val="font229239"/>
    <w:basedOn w:val="1"/>
    <w:uiPriority w:val="99"/>
    <w:pPr>
      <w:spacing w:before="100" w:beforeAutospacing="1" w:after="100" w:afterAutospacing="1"/>
    </w:pPr>
    <w:rPr>
      <w:kern w:val="0"/>
      <w:sz w:val="18"/>
      <w:szCs w:val="18"/>
    </w:rPr>
  </w:style>
  <w:style w:type="paragraph" w:customStyle="1" w:styleId="135">
    <w:name w:val="xl889239"/>
    <w:basedOn w:val="1"/>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rFonts w:ascii="宋体" w:hAnsi="宋体" w:cs="宋体"/>
      <w:kern w:val="0"/>
      <w:sz w:val="24"/>
      <w:szCs w:val="24"/>
    </w:rPr>
  </w:style>
  <w:style w:type="paragraph" w:customStyle="1" w:styleId="136">
    <w:name w:val="列出段落21"/>
    <w:basedOn w:val="1"/>
    <w:uiPriority w:val="99"/>
    <w:pPr>
      <w:ind w:firstLine="420" w:firstLineChars="200"/>
    </w:pPr>
  </w:style>
  <w:style w:type="paragraph" w:customStyle="1" w:styleId="137">
    <w:name w:val="xl1029239"/>
    <w:basedOn w:val="1"/>
    <w:uiPriority w:val="99"/>
    <w:pPr>
      <w:pBdr>
        <w:left w:val="single" w:color="auto" w:sz="4" w:space="1"/>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38">
    <w:name w:val="xl929239"/>
    <w:basedOn w:val="1"/>
    <w:uiPriority w:val="99"/>
    <w:pPr>
      <w:spacing w:before="100" w:beforeAutospacing="1" w:after="100" w:afterAutospacing="1"/>
      <w:textAlignment w:val="center"/>
    </w:pPr>
    <w:rPr>
      <w:rFonts w:ascii="宋体" w:hAnsi="宋体" w:cs="宋体"/>
      <w:kern w:val="0"/>
      <w:sz w:val="22"/>
      <w:szCs w:val="22"/>
    </w:rPr>
  </w:style>
  <w:style w:type="paragraph" w:customStyle="1" w:styleId="139">
    <w:name w:val="xl1179239"/>
    <w:basedOn w:val="1"/>
    <w:uiPriority w:val="99"/>
    <w:pPr>
      <w:pBdr>
        <w:left w:val="single" w:color="auto" w:sz="4" w:space="1"/>
        <w:right w:val="single" w:color="auto" w:sz="4" w:space="1"/>
      </w:pBdr>
      <w:spacing w:before="100" w:beforeAutospacing="1" w:after="100" w:afterAutospacing="1"/>
      <w:jc w:val="center"/>
      <w:textAlignment w:val="center"/>
    </w:pPr>
    <w:rPr>
      <w:rFonts w:ascii="宋体" w:hAnsi="宋体" w:cs="宋体"/>
      <w:kern w:val="0"/>
      <w:sz w:val="24"/>
      <w:szCs w:val="24"/>
    </w:rPr>
  </w:style>
  <w:style w:type="paragraph" w:customStyle="1" w:styleId="140">
    <w:name w:val="font79239"/>
    <w:basedOn w:val="1"/>
    <w:uiPriority w:val="99"/>
    <w:pPr>
      <w:spacing w:before="100" w:beforeAutospacing="1" w:after="100" w:afterAutospacing="1"/>
    </w:pPr>
    <w:rPr>
      <w:rFonts w:ascii="宋体" w:hAnsi="宋体" w:cs="宋体"/>
      <w:kern w:val="0"/>
    </w:rPr>
  </w:style>
  <w:style w:type="paragraph" w:customStyle="1" w:styleId="141">
    <w:name w:val="xl1099239"/>
    <w:basedOn w:val="1"/>
    <w:uiPriority w:val="99"/>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42">
    <w:name w:val="font12"/>
    <w:basedOn w:val="1"/>
    <w:uiPriority w:val="99"/>
    <w:pPr>
      <w:spacing w:before="100" w:beforeAutospacing="1" w:after="100" w:afterAutospacing="1"/>
    </w:pPr>
    <w:rPr>
      <w:color w:val="1A1A1A"/>
      <w:kern w:val="0"/>
      <w:sz w:val="22"/>
      <w:szCs w:val="22"/>
    </w:rPr>
  </w:style>
  <w:style w:type="paragraph" w:customStyle="1" w:styleId="143">
    <w:name w:val="font159239"/>
    <w:basedOn w:val="1"/>
    <w:uiPriority w:val="99"/>
    <w:pPr>
      <w:spacing w:before="100" w:beforeAutospacing="1" w:after="100" w:afterAutospacing="1"/>
    </w:pPr>
    <w:rPr>
      <w:kern w:val="0"/>
      <w:sz w:val="22"/>
      <w:szCs w:val="22"/>
    </w:rPr>
  </w:style>
  <w:style w:type="paragraph" w:customStyle="1" w:styleId="144">
    <w:name w:val="xl1239239"/>
    <w:basedOn w:val="1"/>
    <w:uiPriority w:val="99"/>
    <w:pPr>
      <w:pBdr>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sz w:val="24"/>
      <w:szCs w:val="24"/>
    </w:rPr>
  </w:style>
  <w:style w:type="paragraph" w:customStyle="1" w:styleId="145">
    <w:name w:val="xl70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both"/>
      <w:textAlignment w:val="bottom"/>
    </w:pPr>
    <w:rPr>
      <w:rFonts w:ascii="宋体" w:hAnsi="宋体" w:cs="宋体"/>
      <w:kern w:val="0"/>
    </w:rPr>
  </w:style>
  <w:style w:type="paragraph" w:customStyle="1" w:styleId="146">
    <w:name w:val="xl1009239"/>
    <w:basedOn w:val="1"/>
    <w:uiPriority w:val="99"/>
    <w:pPr>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47">
    <w:name w:val="xl96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sz w:val="22"/>
      <w:szCs w:val="22"/>
    </w:rPr>
  </w:style>
  <w:style w:type="paragraph" w:customStyle="1" w:styleId="148">
    <w:name w:val="xl75"/>
    <w:basedOn w:val="1"/>
    <w:uiPriority w:val="99"/>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textAlignment w:val="center"/>
    </w:pPr>
    <w:rPr>
      <w:color w:val="000000"/>
      <w:kern w:val="0"/>
      <w:sz w:val="24"/>
      <w:szCs w:val="24"/>
    </w:rPr>
  </w:style>
  <w:style w:type="paragraph" w:customStyle="1" w:styleId="149">
    <w:name w:val="xl66"/>
    <w:basedOn w:val="1"/>
    <w:uiPriority w:val="99"/>
    <w:pPr>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 w:val="24"/>
      <w:szCs w:val="24"/>
    </w:rPr>
  </w:style>
  <w:style w:type="paragraph" w:customStyle="1" w:styleId="150">
    <w:name w:val="font139239"/>
    <w:basedOn w:val="1"/>
    <w:uiPriority w:val="99"/>
    <w:pPr>
      <w:spacing w:before="100" w:beforeAutospacing="1" w:after="100" w:afterAutospacing="1"/>
    </w:pPr>
    <w:rPr>
      <w:rFonts w:ascii="宋体" w:hAnsi="宋体" w:cs="宋体"/>
      <w:kern w:val="0"/>
      <w:sz w:val="20"/>
      <w:szCs w:val="20"/>
    </w:rPr>
  </w:style>
  <w:style w:type="paragraph" w:customStyle="1" w:styleId="151">
    <w:name w:val="xl83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sz w:val="22"/>
      <w:szCs w:val="22"/>
    </w:rPr>
  </w:style>
  <w:style w:type="paragraph" w:customStyle="1" w:styleId="152">
    <w:name w:val="修订3"/>
    <w:uiPriority w:val="99"/>
    <w:rPr>
      <w:rFonts w:ascii="Times New Roman" w:hAnsi="Times New Roman" w:eastAsia="宋体" w:cs="Times New Roman"/>
      <w:kern w:val="2"/>
      <w:sz w:val="21"/>
      <w:szCs w:val="21"/>
      <w:lang w:val="en-US" w:eastAsia="zh-CN" w:bidi="ar-SA"/>
    </w:rPr>
  </w:style>
  <w:style w:type="paragraph" w:customStyle="1" w:styleId="153">
    <w:name w:val="列出段落12"/>
    <w:basedOn w:val="1"/>
    <w:uiPriority w:val="99"/>
    <w:pPr>
      <w:ind w:firstLine="420" w:firstLineChars="200"/>
    </w:pPr>
    <w:rPr>
      <w:rFonts w:ascii="宋体" w:hAnsi="宋体" w:cs="宋体"/>
      <w:kern w:val="0"/>
      <w:sz w:val="24"/>
      <w:szCs w:val="24"/>
    </w:rPr>
  </w:style>
  <w:style w:type="paragraph" w:customStyle="1" w:styleId="154">
    <w:name w:val="修订11"/>
    <w:uiPriority w:val="99"/>
    <w:rPr>
      <w:rFonts w:ascii="Times New Roman" w:hAnsi="Times New Roman" w:eastAsia="宋体" w:cs="Times New Roman"/>
      <w:kern w:val="2"/>
      <w:sz w:val="21"/>
      <w:szCs w:val="21"/>
      <w:lang w:val="en-US" w:eastAsia="zh-CN" w:bidi="ar-SA"/>
    </w:rPr>
  </w:style>
  <w:style w:type="paragraph" w:customStyle="1" w:styleId="155">
    <w:name w:val="TOC 标题1"/>
    <w:basedOn w:val="2"/>
    <w:next w:val="1"/>
    <w:uiPriority w:val="99"/>
    <w:pPr>
      <w:spacing w:before="480" w:after="0" w:line="276" w:lineRule="auto"/>
      <w:outlineLvl w:val="9"/>
    </w:pPr>
    <w:rPr>
      <w:rFonts w:ascii="Cambria" w:hAnsi="Cambria" w:cs="Cambria"/>
      <w:color w:val="365F90"/>
      <w:kern w:val="0"/>
      <w:sz w:val="28"/>
      <w:szCs w:val="28"/>
    </w:rPr>
  </w:style>
  <w:style w:type="paragraph" w:customStyle="1" w:styleId="156">
    <w:name w:val="文档结构图11"/>
    <w:basedOn w:val="1"/>
    <w:uiPriority w:val="99"/>
    <w:pPr>
      <w:shd w:val="clear" w:color="auto" w:fill="000080"/>
    </w:pPr>
  </w:style>
  <w:style w:type="paragraph" w:customStyle="1" w:styleId="157">
    <w:name w:val="HTML 预设格式21"/>
    <w:basedOn w:va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customStyle="1" w:styleId="158">
    <w:name w:val="default"/>
    <w:basedOn w:val="1"/>
    <w:uiPriority w:val="99"/>
    <w:rPr>
      <w:rFonts w:ascii="宋体" w:hAnsi="宋体" w:cs="宋体"/>
      <w:kern w:val="0"/>
      <w:sz w:val="24"/>
      <w:szCs w:val="24"/>
    </w:rPr>
  </w:style>
  <w:style w:type="paragraph" w:customStyle="1" w:styleId="159">
    <w:name w:val="xl80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4"/>
      <w:szCs w:val="24"/>
    </w:rPr>
  </w:style>
  <w:style w:type="paragraph" w:customStyle="1" w:styleId="160">
    <w:name w:val="xl999239"/>
    <w:basedOn w:val="1"/>
    <w:uiPriority w:val="99"/>
    <w:pPr>
      <w:pBdr>
        <w:left w:val="single" w:color="auto" w:sz="4" w:space="1"/>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61">
    <w:name w:val="font189239"/>
    <w:basedOn w:val="1"/>
    <w:uiPriority w:val="99"/>
    <w:pPr>
      <w:spacing w:before="100" w:beforeAutospacing="1" w:after="100" w:afterAutospacing="1"/>
    </w:pPr>
    <w:rPr>
      <w:rFonts w:ascii="宋体" w:hAnsi="宋体" w:cs="宋体"/>
      <w:kern w:val="0"/>
      <w:sz w:val="24"/>
      <w:szCs w:val="24"/>
    </w:rPr>
  </w:style>
  <w:style w:type="paragraph" w:customStyle="1" w:styleId="162">
    <w:name w:val="xl1139239"/>
    <w:basedOn w:val="1"/>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rFonts w:ascii="宋体" w:hAnsi="宋体" w:cs="宋体"/>
      <w:kern w:val="0"/>
      <w:sz w:val="24"/>
      <w:szCs w:val="24"/>
    </w:rPr>
  </w:style>
  <w:style w:type="paragraph" w:customStyle="1" w:styleId="163">
    <w:name w:val="列出段落10"/>
    <w:basedOn w:val="1"/>
    <w:uiPriority w:val="99"/>
    <w:pPr>
      <w:ind w:firstLine="420" w:firstLineChars="200"/>
    </w:pPr>
    <w:rPr>
      <w:rFonts w:ascii="宋体" w:hAnsi="宋体" w:cs="宋体"/>
      <w:kern w:val="0"/>
      <w:sz w:val="24"/>
      <w:szCs w:val="24"/>
    </w:rPr>
  </w:style>
  <w:style w:type="paragraph" w:customStyle="1" w:styleId="164">
    <w:name w:val="列出段落6"/>
    <w:basedOn w:val="1"/>
    <w:uiPriority w:val="99"/>
    <w:pPr>
      <w:ind w:firstLine="420" w:firstLineChars="200"/>
    </w:pPr>
  </w:style>
  <w:style w:type="paragraph" w:customStyle="1" w:styleId="165">
    <w:name w:val="xl1079239"/>
    <w:basedOn w:val="1"/>
    <w:uiPriority w:val="99"/>
    <w:pPr>
      <w:pBdr>
        <w:left w:val="single" w:color="auto" w:sz="4" w:space="1"/>
        <w:right w:val="single" w:color="auto" w:sz="4" w:space="1"/>
      </w:pBdr>
      <w:spacing w:before="100" w:beforeAutospacing="1" w:after="100" w:afterAutospacing="1"/>
      <w:textAlignment w:val="center"/>
    </w:pPr>
    <w:rPr>
      <w:rFonts w:ascii="宋体" w:hAnsi="宋体" w:cs="宋体"/>
      <w:kern w:val="0"/>
      <w:sz w:val="22"/>
      <w:szCs w:val="22"/>
    </w:rPr>
  </w:style>
  <w:style w:type="paragraph" w:customStyle="1" w:styleId="166">
    <w:name w:val="font209239"/>
    <w:basedOn w:val="1"/>
    <w:uiPriority w:val="99"/>
    <w:pPr>
      <w:spacing w:before="100" w:beforeAutospacing="1" w:after="100" w:afterAutospacing="1"/>
    </w:pPr>
    <w:rPr>
      <w:rFonts w:ascii="Verdana" w:hAnsi="Verdana" w:cs="Verdana"/>
      <w:kern w:val="0"/>
      <w:sz w:val="24"/>
      <w:szCs w:val="24"/>
    </w:rPr>
  </w:style>
  <w:style w:type="paragraph" w:customStyle="1" w:styleId="167">
    <w:name w:val="font59239"/>
    <w:basedOn w:val="1"/>
    <w:uiPriority w:val="99"/>
    <w:pPr>
      <w:spacing w:before="100" w:beforeAutospacing="1" w:after="100" w:afterAutospacing="1"/>
    </w:pPr>
    <w:rPr>
      <w:rFonts w:ascii="宋体" w:hAnsi="宋体" w:cs="宋体"/>
      <w:kern w:val="0"/>
      <w:sz w:val="18"/>
      <w:szCs w:val="18"/>
    </w:rPr>
  </w:style>
  <w:style w:type="paragraph" w:customStyle="1" w:styleId="168">
    <w:name w:val="xl1229239"/>
    <w:basedOn w:val="1"/>
    <w:uiPriority w:val="99"/>
    <w:pPr>
      <w:pBdr>
        <w:left w:val="single" w:color="auto" w:sz="4" w:space="1"/>
        <w:right w:val="single" w:color="auto" w:sz="4" w:space="1"/>
      </w:pBdr>
      <w:spacing w:before="100" w:beforeAutospacing="1" w:after="100" w:afterAutospacing="1"/>
      <w:textAlignment w:val="center"/>
    </w:pPr>
    <w:rPr>
      <w:rFonts w:ascii="宋体" w:hAnsi="宋体" w:cs="宋体"/>
      <w:kern w:val="0"/>
      <w:sz w:val="24"/>
      <w:szCs w:val="24"/>
    </w:rPr>
  </w:style>
  <w:style w:type="paragraph" w:customStyle="1" w:styleId="169">
    <w:name w:val="xl1259239"/>
    <w:basedOn w:val="1"/>
    <w:uiPriority w:val="99"/>
    <w:pPr>
      <w:pBdr>
        <w:left w:val="single" w:color="auto" w:sz="4" w:space="1"/>
        <w:right w:val="single" w:color="auto" w:sz="4" w:space="1"/>
      </w:pBdr>
      <w:spacing w:before="100" w:beforeAutospacing="1" w:after="100" w:afterAutospacing="1"/>
      <w:jc w:val="center"/>
      <w:textAlignment w:val="center"/>
    </w:pPr>
    <w:rPr>
      <w:rFonts w:ascii="宋体" w:hAnsi="宋体" w:cs="宋体"/>
      <w:kern w:val="0"/>
      <w:sz w:val="24"/>
      <w:szCs w:val="24"/>
    </w:rPr>
  </w:style>
  <w:style w:type="paragraph" w:customStyle="1" w:styleId="170">
    <w:name w:val="xl81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71">
    <w:name w:val="xl69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sz w:val="22"/>
      <w:szCs w:val="22"/>
    </w:rPr>
  </w:style>
  <w:style w:type="paragraph" w:customStyle="1" w:styleId="172">
    <w:name w:val="列出段落8"/>
    <w:basedOn w:val="1"/>
    <w:uiPriority w:val="99"/>
    <w:pPr>
      <w:ind w:firstLine="420" w:firstLineChars="200"/>
    </w:pPr>
  </w:style>
  <w:style w:type="paragraph" w:customStyle="1" w:styleId="173">
    <w:name w:val="xl74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both"/>
      <w:textAlignment w:val="center"/>
    </w:pPr>
    <w:rPr>
      <w:b/>
      <w:bCs/>
      <w:kern w:val="0"/>
    </w:rPr>
  </w:style>
  <w:style w:type="paragraph" w:customStyle="1" w:styleId="174">
    <w:name w:val="xl81"/>
    <w:basedOn w:val="1"/>
    <w:uiPriority w:val="99"/>
    <w:pPr>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4"/>
      <w:szCs w:val="24"/>
    </w:rPr>
  </w:style>
  <w:style w:type="paragraph" w:customStyle="1" w:styleId="175">
    <w:name w:val="列出段落71"/>
    <w:basedOn w:val="1"/>
    <w:uiPriority w:val="99"/>
    <w:pPr>
      <w:ind w:firstLine="420" w:firstLineChars="200"/>
    </w:pPr>
  </w:style>
  <w:style w:type="paragraph" w:customStyle="1" w:styleId="176">
    <w:name w:val="Char Char1 Char Char Char Char1"/>
    <w:basedOn w:val="1"/>
    <w:uiPriority w:val="99"/>
  </w:style>
  <w:style w:type="paragraph" w:customStyle="1" w:styleId="177">
    <w:name w:val="xl859239"/>
    <w:basedOn w:val="1"/>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sz w:val="22"/>
      <w:szCs w:val="22"/>
    </w:rPr>
  </w:style>
  <w:style w:type="paragraph" w:customStyle="1" w:styleId="178">
    <w:name w:val="xl949239"/>
    <w:basedOn w:val="1"/>
    <w:uiPriority w:val="99"/>
    <w:pPr>
      <w:spacing w:before="100" w:beforeAutospacing="1" w:after="100" w:afterAutospacing="1"/>
      <w:textAlignment w:val="center"/>
    </w:pPr>
    <w:rPr>
      <w:rFonts w:ascii="宋体" w:hAnsi="宋体" w:cs="宋体"/>
      <w:color w:val="000000"/>
      <w:kern w:val="0"/>
      <w:sz w:val="22"/>
      <w:szCs w:val="22"/>
    </w:rPr>
  </w:style>
  <w:style w:type="paragraph" w:customStyle="1" w:styleId="179">
    <w:name w:val="xl669239"/>
    <w:basedOn w:val="1"/>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180">
    <w:name w:val="修订2"/>
    <w:uiPriority w:val="99"/>
    <w:rPr>
      <w:rFonts w:ascii="Times New Roman" w:hAnsi="Times New Roman" w:eastAsia="宋体" w:cs="Times New Roman"/>
      <w:kern w:val="2"/>
      <w:sz w:val="21"/>
      <w:szCs w:val="21"/>
      <w:lang w:val="en-US" w:eastAsia="zh-CN" w:bidi="ar-SA"/>
    </w:rPr>
  </w:style>
  <w:style w:type="paragraph" w:customStyle="1" w:styleId="181">
    <w:name w:val="列出段落3"/>
    <w:basedOn w:val="1"/>
    <w:uiPriority w:val="99"/>
    <w:pPr>
      <w:ind w:firstLine="420" w:firstLineChars="200"/>
    </w:pPr>
  </w:style>
  <w:style w:type="paragraph" w:customStyle="1" w:styleId="182">
    <w:name w:val="xl879239"/>
    <w:basedOn w:val="1"/>
    <w:uiPriority w:val="99"/>
    <w:pPr>
      <w:pBdr>
        <w:top w:val="single" w:color="auto" w:sz="4" w:space="1"/>
        <w:bottom w:val="single" w:color="auto" w:sz="4" w:space="0"/>
        <w:right w:val="single" w:color="auto" w:sz="4" w:space="1"/>
      </w:pBdr>
      <w:shd w:val="clear" w:color="000000" w:fill="FFFFFF"/>
      <w:spacing w:before="100" w:beforeAutospacing="1" w:after="100" w:afterAutospacing="1"/>
      <w:textAlignment w:val="center"/>
    </w:pPr>
    <w:rPr>
      <w:rFonts w:ascii="宋体" w:hAnsi="宋体" w:cs="宋体"/>
      <w:kern w:val="0"/>
      <w:sz w:val="24"/>
      <w:szCs w:val="24"/>
    </w:rPr>
  </w:style>
  <w:style w:type="paragraph" w:customStyle="1" w:styleId="183">
    <w:name w:val="xl679239"/>
    <w:basedOn w:val="1"/>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184">
    <w:name w:val="xl76"/>
    <w:basedOn w:val="1"/>
    <w:uiPriority w:val="99"/>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textAlignment w:val="center"/>
    </w:pPr>
    <w:rPr>
      <w:color w:val="1A1A1A"/>
      <w:kern w:val="0"/>
      <w:sz w:val="24"/>
      <w:szCs w:val="24"/>
    </w:rPr>
  </w:style>
  <w:style w:type="paragraph" w:customStyle="1" w:styleId="185">
    <w:name w:val="xl1209239"/>
    <w:basedOn w:val="1"/>
    <w:uiPriority w:val="99"/>
    <w:pPr>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4"/>
      <w:szCs w:val="24"/>
    </w:rPr>
  </w:style>
  <w:style w:type="paragraph" w:customStyle="1" w:styleId="186">
    <w:name w:val="文档结构图2"/>
    <w:basedOn w:val="1"/>
    <w:uiPriority w:val="99"/>
    <w:pPr>
      <w:shd w:val="clear" w:color="auto" w:fill="000080"/>
    </w:pPr>
  </w:style>
  <w:style w:type="paragraph" w:customStyle="1" w:styleId="187">
    <w:name w:val="xl70"/>
    <w:basedOn w:val="1"/>
    <w:uiPriority w:val="99"/>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textAlignment w:val="center"/>
    </w:pPr>
    <w:rPr>
      <w:rFonts w:ascii="宋体" w:hAnsi="宋体" w:cs="宋体"/>
      <w:color w:val="FF0000"/>
      <w:kern w:val="0"/>
      <w:sz w:val="24"/>
      <w:szCs w:val="24"/>
    </w:rPr>
  </w:style>
  <w:style w:type="paragraph" w:customStyle="1" w:styleId="188">
    <w:name w:val="Defaul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9">
    <w:name w:val="text"/>
    <w:basedOn w:val="1"/>
    <w:uiPriority w:val="99"/>
    <w:pPr>
      <w:widowControl w:val="0"/>
      <w:spacing w:line="360" w:lineRule="auto"/>
      <w:ind w:firstLine="420"/>
      <w:jc w:val="both"/>
    </w:pPr>
    <w:rPr>
      <w:rFonts w:eastAsia="仿宋_GB2312"/>
      <w:sz w:val="24"/>
      <w:szCs w:val="24"/>
    </w:rPr>
  </w:style>
  <w:style w:type="paragraph" w:customStyle="1" w:styleId="190">
    <w:name w:val="列出段落11"/>
    <w:basedOn w:val="1"/>
    <w:uiPriority w:val="99"/>
    <w:pPr>
      <w:ind w:firstLine="420" w:firstLineChars="200"/>
    </w:pPr>
  </w:style>
  <w:style w:type="paragraph" w:customStyle="1" w:styleId="191">
    <w:name w:val="xl1189239"/>
    <w:basedOn w:val="1"/>
    <w:uiPriority w:val="99"/>
    <w:pPr>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4"/>
      <w:szCs w:val="24"/>
    </w:rPr>
  </w:style>
  <w:style w:type="paragraph" w:customStyle="1" w:styleId="192">
    <w:name w:val="xl869239"/>
    <w:basedOn w:val="1"/>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rFonts w:ascii="宋体" w:hAnsi="宋体" w:cs="宋体"/>
      <w:kern w:val="0"/>
      <w:sz w:val="24"/>
      <w:szCs w:val="24"/>
    </w:rPr>
  </w:style>
  <w:style w:type="paragraph" w:customStyle="1" w:styleId="193">
    <w:name w:val="列出段落14"/>
    <w:basedOn w:val="1"/>
    <w:uiPriority w:val="99"/>
    <w:pPr>
      <w:ind w:firstLine="420" w:firstLineChars="200"/>
    </w:pPr>
    <w:rPr>
      <w:rFonts w:ascii="宋体" w:hAnsi="宋体" w:cs="宋体"/>
      <w:kern w:val="0"/>
      <w:sz w:val="24"/>
      <w:szCs w:val="24"/>
    </w:rPr>
  </w:style>
  <w:style w:type="paragraph" w:customStyle="1" w:styleId="194">
    <w:name w:val="普通(网站)11"/>
    <w:uiPriority w:val="99"/>
    <w:pPr>
      <w:spacing w:before="100" w:beforeAutospacing="1" w:after="100" w:afterAutospacing="1"/>
    </w:pPr>
    <w:rPr>
      <w:rFonts w:ascii="宋体" w:hAnsi="宋体" w:eastAsia="宋体" w:cs="宋体"/>
      <w:sz w:val="24"/>
      <w:szCs w:val="24"/>
      <w:lang w:val="en-US" w:eastAsia="zh-CN" w:bidi="ar-SA"/>
    </w:rPr>
  </w:style>
  <w:style w:type="paragraph" w:customStyle="1" w:styleId="195">
    <w:name w:val="纯文本11"/>
    <w:basedOn w:val="1"/>
    <w:uiPriority w:val="99"/>
    <w:rPr>
      <w:rFonts w:ascii="Calibri" w:hAnsi="Calibri" w:cs="Calibri"/>
      <w:color w:val="000000"/>
    </w:rPr>
  </w:style>
  <w:style w:type="paragraph" w:customStyle="1" w:styleId="196">
    <w:name w:val="批注主题31"/>
    <w:basedOn w:val="7"/>
    <w:next w:val="7"/>
    <w:uiPriority w:val="99"/>
    <w:rPr>
      <w:rFonts w:ascii="Calibri" w:hAnsi="Calibri" w:cs="Calibri"/>
      <w:b/>
      <w:bCs/>
    </w:rPr>
  </w:style>
  <w:style w:type="paragraph" w:customStyle="1" w:styleId="197">
    <w:name w:val="正文首行缩进11"/>
    <w:basedOn w:val="1"/>
    <w:uiPriority w:val="99"/>
    <w:pPr>
      <w:spacing w:after="120"/>
      <w:ind w:firstLine="200" w:firstLineChars="200"/>
    </w:pPr>
    <w:rPr>
      <w:rFonts w:ascii="Calibri" w:hAnsi="Calibri" w:cs="Calibri"/>
      <w:sz w:val="28"/>
      <w:szCs w:val="28"/>
    </w:rPr>
  </w:style>
  <w:style w:type="paragraph" w:customStyle="1" w:styleId="198">
    <w:name w:val="正文文本缩进31"/>
    <w:basedOn w:val="1"/>
    <w:uiPriority w:val="99"/>
    <w:pPr>
      <w:ind w:firstLine="420" w:firstLineChars="200"/>
    </w:pPr>
    <w:rPr>
      <w:rFonts w:ascii="Calibri" w:hAnsi="Calibri" w:cs="Calibri"/>
    </w:rPr>
  </w:style>
  <w:style w:type="paragraph" w:customStyle="1" w:styleId="199">
    <w:name w:val="修订5"/>
    <w:hidden/>
    <w:semiHidden/>
    <w:uiPriority w:val="99"/>
    <w:rPr>
      <w:rFonts w:ascii="Times New Roman" w:hAnsi="Times New Roman" w:eastAsia="宋体" w:cs="Times New Roman"/>
      <w:kern w:val="2"/>
      <w:sz w:val="21"/>
      <w:szCs w:val="21"/>
      <w:lang w:val="en-US" w:eastAsia="zh-CN" w:bidi="ar-SA"/>
    </w:rPr>
  </w:style>
  <w:style w:type="paragraph" w:customStyle="1" w:styleId="200">
    <w:name w:val="List Paragraph"/>
    <w:basedOn w:val="1"/>
    <w:qFormat/>
    <w:uiPriority w:val="34"/>
    <w:pPr>
      <w:ind w:firstLine="420" w:firstLineChars="200"/>
    </w:pPr>
  </w:style>
  <w:style w:type="paragraph" w:customStyle="1" w:styleId="201">
    <w:name w:val="Revision"/>
    <w:hidden/>
    <w:semiHidden/>
    <w:uiPriority w:val="99"/>
    <w:rPr>
      <w:rFonts w:ascii="Times New Roman" w:hAnsi="Times New Roman" w:eastAsia="宋体" w:cs="Times New Roman"/>
      <w:kern w:val="2"/>
      <w:sz w:val="21"/>
      <w:szCs w:val="21"/>
      <w:lang w:val="en-US" w:eastAsia="zh-CN" w:bidi="ar-SA"/>
    </w:rPr>
  </w:style>
  <w:style w:type="character" w:customStyle="1" w:styleId="202">
    <w:name w:val="标题 1 字符"/>
    <w:link w:val="2"/>
    <w:locked/>
    <w:uiPriority w:val="99"/>
    <w:rPr>
      <w:b/>
      <w:bCs/>
      <w:kern w:val="44"/>
      <w:sz w:val="44"/>
      <w:szCs w:val="44"/>
    </w:rPr>
  </w:style>
  <w:style w:type="character" w:customStyle="1" w:styleId="203">
    <w:name w:val="标题 2 字符"/>
    <w:link w:val="3"/>
    <w:locked/>
    <w:uiPriority w:val="99"/>
    <w:rPr>
      <w:rFonts w:ascii="Arial" w:hAnsi="Arial" w:eastAsia="黑体" w:cs="Arial"/>
      <w:b/>
      <w:bCs/>
      <w:kern w:val="2"/>
      <w:sz w:val="21"/>
      <w:szCs w:val="21"/>
    </w:rPr>
  </w:style>
  <w:style w:type="character" w:customStyle="1" w:styleId="204">
    <w:name w:val="标题 3 字符"/>
    <w:link w:val="4"/>
    <w:locked/>
    <w:uiPriority w:val="99"/>
    <w:rPr>
      <w:b/>
      <w:bCs/>
      <w:kern w:val="2"/>
      <w:sz w:val="32"/>
      <w:szCs w:val="32"/>
    </w:rPr>
  </w:style>
  <w:style w:type="character" w:customStyle="1" w:styleId="205">
    <w:name w:val="标题 4 字符"/>
    <w:link w:val="5"/>
    <w:locked/>
    <w:uiPriority w:val="99"/>
    <w:rPr>
      <w:rFonts w:ascii="Cambria" w:hAnsi="Cambria" w:eastAsia="宋体" w:cs="Cambria"/>
      <w:b/>
      <w:bCs/>
      <w:kern w:val="2"/>
      <w:sz w:val="28"/>
      <w:szCs w:val="28"/>
    </w:rPr>
  </w:style>
  <w:style w:type="character" w:customStyle="1" w:styleId="206">
    <w:name w:val="Comment Text Char"/>
    <w:locked/>
    <w:uiPriority w:val="99"/>
    <w:rPr>
      <w:kern w:val="2"/>
      <w:sz w:val="21"/>
      <w:szCs w:val="21"/>
    </w:rPr>
  </w:style>
  <w:style w:type="character" w:customStyle="1" w:styleId="207">
    <w:name w:val="批注主题 字符"/>
    <w:link w:val="6"/>
    <w:semiHidden/>
    <w:locked/>
    <w:uiPriority w:val="99"/>
    <w:rPr>
      <w:b/>
      <w:bCs/>
      <w:kern w:val="2"/>
      <w:sz w:val="21"/>
      <w:szCs w:val="21"/>
    </w:rPr>
  </w:style>
  <w:style w:type="character" w:customStyle="1" w:styleId="208">
    <w:name w:val="文档结构图 字符"/>
    <w:link w:val="9"/>
    <w:semiHidden/>
    <w:locked/>
    <w:uiPriority w:val="99"/>
    <w:rPr>
      <w:rFonts w:ascii="宋体" w:cs="宋体"/>
      <w:kern w:val="2"/>
      <w:sz w:val="18"/>
      <w:szCs w:val="18"/>
    </w:rPr>
  </w:style>
  <w:style w:type="character" w:customStyle="1" w:styleId="209">
    <w:name w:val="Body Text Char"/>
    <w:locked/>
    <w:uiPriority w:val="99"/>
    <w:rPr>
      <w:kern w:val="2"/>
      <w:sz w:val="21"/>
      <w:szCs w:val="21"/>
    </w:rPr>
  </w:style>
  <w:style w:type="character" w:customStyle="1" w:styleId="210">
    <w:name w:val="Balloon Text Char"/>
    <w:locked/>
    <w:uiPriority w:val="99"/>
    <w:rPr>
      <w:kern w:val="2"/>
      <w:sz w:val="18"/>
      <w:szCs w:val="18"/>
    </w:rPr>
  </w:style>
  <w:style w:type="character" w:customStyle="1" w:styleId="211">
    <w:name w:val="Footer Char"/>
    <w:locked/>
    <w:uiPriority w:val="99"/>
    <w:rPr>
      <w:kern w:val="2"/>
      <w:sz w:val="18"/>
      <w:szCs w:val="18"/>
    </w:rPr>
  </w:style>
  <w:style w:type="character" w:customStyle="1" w:styleId="212">
    <w:name w:val="Header Char"/>
    <w:locked/>
    <w:uiPriority w:val="99"/>
    <w:rPr>
      <w:kern w:val="2"/>
      <w:sz w:val="18"/>
      <w:szCs w:val="18"/>
    </w:rPr>
  </w:style>
  <w:style w:type="character" w:customStyle="1" w:styleId="213">
    <w:name w:val="Footnote Text Char"/>
    <w:locked/>
    <w:uiPriority w:val="99"/>
    <w:rPr>
      <w:sz w:val="18"/>
      <w:szCs w:val="18"/>
    </w:rPr>
  </w:style>
  <w:style w:type="character" w:customStyle="1" w:styleId="214">
    <w:name w:val="Title Char"/>
    <w:locked/>
    <w:uiPriority w:val="99"/>
    <w:rPr>
      <w:rFonts w:ascii="Cambria" w:hAnsi="Cambria" w:cs="Cambria"/>
      <w:b/>
      <w:bCs/>
      <w:sz w:val="32"/>
      <w:szCs w:val="32"/>
    </w:rPr>
  </w:style>
  <w:style w:type="character" w:customStyle="1" w:styleId="215">
    <w:name w:val="批注引用1"/>
    <w:uiPriority w:val="99"/>
    <w:rPr>
      <w:sz w:val="21"/>
      <w:szCs w:val="21"/>
    </w:rPr>
  </w:style>
  <w:style w:type="character" w:customStyle="1" w:styleId="216">
    <w:name w:val="已访问的超链接1"/>
    <w:uiPriority w:val="99"/>
    <w:rPr>
      <w:color w:val="000000"/>
      <w:u w:val="none"/>
    </w:rPr>
  </w:style>
  <w:style w:type="character" w:customStyle="1" w:styleId="217">
    <w:name w:val="apple-converted-space"/>
    <w:basedOn w:val="21"/>
    <w:uiPriority w:val="99"/>
    <w:rPr/>
  </w:style>
  <w:style w:type="character" w:customStyle="1" w:styleId="218">
    <w:name w:val="批注主题 Char"/>
    <w:link w:val="29"/>
    <w:locked/>
    <w:uiPriority w:val="99"/>
    <w:rPr>
      <w:b/>
      <w:bCs/>
      <w:kern w:val="2"/>
      <w:sz w:val="21"/>
      <w:szCs w:val="21"/>
    </w:rPr>
  </w:style>
  <w:style w:type="character" w:customStyle="1" w:styleId="219">
    <w:name w:val="正文首行缩进 Char"/>
    <w:link w:val="30"/>
    <w:locked/>
    <w:uiPriority w:val="99"/>
    <w:rPr>
      <w:kern w:val="2"/>
      <w:sz w:val="28"/>
      <w:szCs w:val="28"/>
    </w:rPr>
  </w:style>
  <w:style w:type="character" w:customStyle="1" w:styleId="220">
    <w:name w:val="Comment Subject Char1"/>
    <w:uiPriority w:val="99"/>
    <w:rPr>
      <w:b/>
      <w:bCs/>
      <w:kern w:val="2"/>
      <w:sz w:val="21"/>
      <w:szCs w:val="21"/>
    </w:rPr>
  </w:style>
  <w:style w:type="character" w:customStyle="1" w:styleId="221">
    <w:name w:val="正文文本缩进 Char"/>
    <w:link w:val="31"/>
    <w:locked/>
    <w:uiPriority w:val="99"/>
    <w:rPr>
      <w:kern w:val="2"/>
      <w:sz w:val="21"/>
      <w:szCs w:val="21"/>
    </w:rPr>
  </w:style>
  <w:style w:type="character" w:customStyle="1" w:styleId="222">
    <w:name w:val="页码2"/>
    <w:basedOn w:val="21"/>
    <w:uiPriority w:val="99"/>
    <w:rPr/>
  </w:style>
  <w:style w:type="character" w:customStyle="1" w:styleId="223">
    <w:name w:val="Body Text Indent Char1"/>
    <w:uiPriority w:val="99"/>
    <w:rPr>
      <w:sz w:val="21"/>
      <w:szCs w:val="21"/>
    </w:rPr>
  </w:style>
  <w:style w:type="character" w:customStyle="1" w:styleId="224">
    <w:name w:val="Comment Text Char1"/>
    <w:uiPriority w:val="99"/>
    <w:rPr>
      <w:sz w:val="21"/>
      <w:szCs w:val="21"/>
    </w:rPr>
  </w:style>
  <w:style w:type="character" w:customStyle="1" w:styleId="225">
    <w:name w:val="纯文本 Char"/>
    <w:link w:val="32"/>
    <w:locked/>
    <w:uiPriority w:val="99"/>
    <w:rPr>
      <w:rFonts w:ascii="Calibri" w:hAnsi="Calibri" w:cs="Calibri"/>
      <w:color w:val="000000"/>
      <w:kern w:val="2"/>
      <w:sz w:val="21"/>
      <w:szCs w:val="21"/>
    </w:rPr>
  </w:style>
  <w:style w:type="character" w:customStyle="1" w:styleId="226">
    <w:name w:val="HTML 预设格式 Char"/>
    <w:link w:val="33"/>
    <w:locked/>
    <w:uiPriority w:val="99"/>
    <w:rPr>
      <w:rFonts w:ascii="宋体" w:eastAsia="宋体" w:cs="宋体"/>
      <w:sz w:val="24"/>
      <w:szCs w:val="24"/>
    </w:rPr>
  </w:style>
  <w:style w:type="character" w:customStyle="1" w:styleId="227">
    <w:name w:val="标题 Char1"/>
    <w:uiPriority w:val="99"/>
    <w:rPr>
      <w:rFonts w:ascii="Cambria" w:hAnsi="Cambria" w:cs="Cambria"/>
      <w:b/>
      <w:bCs/>
      <w:kern w:val="2"/>
      <w:sz w:val="32"/>
      <w:szCs w:val="32"/>
    </w:rPr>
  </w:style>
  <w:style w:type="character" w:customStyle="1" w:styleId="228">
    <w:name w:val="文档结构图 Char"/>
    <w:link w:val="34"/>
    <w:locked/>
    <w:uiPriority w:val="99"/>
    <w:rPr>
      <w:kern w:val="2"/>
      <w:sz w:val="21"/>
      <w:szCs w:val="21"/>
      <w:shd w:val="clear" w:color="auto" w:fill="000080"/>
    </w:rPr>
  </w:style>
  <w:style w:type="character" w:customStyle="1" w:styleId="229">
    <w:name w:val="页码1"/>
    <w:basedOn w:val="21"/>
    <w:uiPriority w:val="99"/>
    <w:rPr/>
  </w:style>
  <w:style w:type="character" w:customStyle="1" w:styleId="230">
    <w:name w:val="页码11"/>
    <w:basedOn w:val="21"/>
    <w:uiPriority w:val="99"/>
    <w:rPr/>
  </w:style>
  <w:style w:type="character" w:customStyle="1" w:styleId="231">
    <w:name w:val="Balloon Text Char1"/>
    <w:uiPriority w:val="99"/>
    <w:rPr>
      <w:sz w:val="16"/>
      <w:szCs w:val="16"/>
    </w:rPr>
  </w:style>
  <w:style w:type="character" w:customStyle="1" w:styleId="232">
    <w:name w:val="批注引用2"/>
    <w:uiPriority w:val="99"/>
    <w:rPr>
      <w:sz w:val="21"/>
      <w:szCs w:val="21"/>
    </w:rPr>
  </w:style>
  <w:style w:type="character" w:customStyle="1" w:styleId="233">
    <w:name w:val="批注引用11"/>
    <w:uiPriority w:val="99"/>
    <w:rPr>
      <w:sz w:val="21"/>
      <w:szCs w:val="21"/>
    </w:rPr>
  </w:style>
  <w:style w:type="character" w:customStyle="1" w:styleId="234">
    <w:name w:val="Header Char1"/>
    <w:uiPriority w:val="99"/>
    <w:rPr>
      <w:sz w:val="18"/>
      <w:szCs w:val="18"/>
    </w:rPr>
  </w:style>
  <w:style w:type="character" w:customStyle="1" w:styleId="235">
    <w:name w:val="Footer Char1"/>
    <w:uiPriority w:val="99"/>
    <w:rPr>
      <w:sz w:val="18"/>
      <w:szCs w:val="18"/>
    </w:rPr>
  </w:style>
  <w:style w:type="character" w:customStyle="1" w:styleId="236">
    <w:name w:val="正文文本 字符"/>
    <w:link w:val="10"/>
    <w:semiHidden/>
    <w:locked/>
    <w:uiPriority w:val="99"/>
    <w:rPr>
      <w:sz w:val="21"/>
      <w:szCs w:val="21"/>
    </w:rPr>
  </w:style>
  <w:style w:type="character" w:customStyle="1" w:styleId="237">
    <w:name w:val="批注文字 字符"/>
    <w:link w:val="7"/>
    <w:locked/>
    <w:uiPriority w:val="0"/>
    <w:rPr>
      <w:sz w:val="21"/>
      <w:szCs w:val="21"/>
    </w:rPr>
  </w:style>
  <w:style w:type="character" w:customStyle="1" w:styleId="238">
    <w:name w:val="页眉 字符"/>
    <w:link w:val="15"/>
    <w:semiHidden/>
    <w:locked/>
    <w:uiPriority w:val="99"/>
    <w:rPr>
      <w:sz w:val="18"/>
      <w:szCs w:val="18"/>
    </w:rPr>
  </w:style>
  <w:style w:type="character" w:customStyle="1" w:styleId="239">
    <w:name w:val="批注框文本 字符"/>
    <w:link w:val="13"/>
    <w:semiHidden/>
    <w:locked/>
    <w:uiPriority w:val="99"/>
    <w:rPr>
      <w:sz w:val="2"/>
      <w:szCs w:val="2"/>
    </w:rPr>
  </w:style>
  <w:style w:type="character" w:customStyle="1" w:styleId="240">
    <w:name w:val="页脚 字符"/>
    <w:link w:val="14"/>
    <w:locked/>
    <w:uiPriority w:val="99"/>
    <w:rPr>
      <w:sz w:val="18"/>
      <w:szCs w:val="18"/>
    </w:rPr>
  </w:style>
  <w:style w:type="character" w:customStyle="1" w:styleId="241">
    <w:name w:val="脚注文本 字符"/>
    <w:link w:val="17"/>
    <w:semiHidden/>
    <w:locked/>
    <w:uiPriority w:val="99"/>
    <w:rPr>
      <w:sz w:val="18"/>
      <w:szCs w:val="18"/>
    </w:rPr>
  </w:style>
  <w:style w:type="character" w:customStyle="1" w:styleId="242">
    <w:name w:val="标题 字符"/>
    <w:link w:val="20"/>
    <w:locked/>
    <w:uiPriority w:val="99"/>
    <w:rPr>
      <w:rFonts w:ascii="Cambria" w:hAnsi="Cambria" w:cs="Cambria"/>
      <w:b/>
      <w:bCs/>
      <w:sz w:val="32"/>
      <w:szCs w:val="32"/>
    </w:rPr>
  </w:style>
  <w:style w:type="character" w:customStyle="1" w:styleId="243">
    <w:name w:val="正文文本 Char1"/>
    <w:semiHidden/>
    <w:uiPriority w:val="99"/>
    <w:rPr>
      <w:rFonts w:ascii="Times New Roman" w:hAnsi="Times New Roman" w:eastAsia="宋体" w:cs="Times New Roman"/>
      <w:sz w:val="21"/>
      <w:szCs w:val="21"/>
    </w:rPr>
  </w:style>
  <w:style w:type="character" w:customStyle="1" w:styleId="244">
    <w:name w:val="批注文字 Char1"/>
    <w:semiHidden/>
    <w:uiPriority w:val="99"/>
    <w:rPr>
      <w:rFonts w:ascii="Times New Roman" w:hAnsi="Times New Roman" w:eastAsia="宋体" w:cs="Times New Roman"/>
      <w:sz w:val="21"/>
      <w:szCs w:val="21"/>
    </w:rPr>
  </w:style>
  <w:style w:type="character" w:customStyle="1" w:styleId="245">
    <w:name w:val="页眉 Char1"/>
    <w:semiHidden/>
    <w:uiPriority w:val="99"/>
    <w:rPr>
      <w:rFonts w:ascii="Times New Roman" w:hAnsi="Times New Roman" w:eastAsia="宋体" w:cs="Times New Roman"/>
      <w:sz w:val="18"/>
      <w:szCs w:val="18"/>
    </w:rPr>
  </w:style>
  <w:style w:type="character" w:customStyle="1" w:styleId="246">
    <w:name w:val="批注框文本 Char1"/>
    <w:semiHidden/>
    <w:uiPriority w:val="99"/>
    <w:rPr>
      <w:rFonts w:ascii="Times New Roman" w:hAnsi="Times New Roman" w:eastAsia="宋体" w:cs="Times New Roman"/>
      <w:sz w:val="18"/>
      <w:szCs w:val="18"/>
    </w:rPr>
  </w:style>
  <w:style w:type="character" w:customStyle="1" w:styleId="247">
    <w:name w:val="页脚 Char1"/>
    <w:semiHidden/>
    <w:uiPriority w:val="99"/>
    <w:rPr>
      <w:rFonts w:ascii="Times New Roman" w:hAnsi="Times New Roman" w:eastAsia="宋体" w:cs="Times New Roman"/>
      <w:sz w:val="18"/>
      <w:szCs w:val="18"/>
    </w:rPr>
  </w:style>
  <w:style w:type="character" w:customStyle="1" w:styleId="248">
    <w:name w:val="脚注文本 Char1"/>
    <w:semiHidden/>
    <w:uiPriority w:val="99"/>
    <w:rPr>
      <w:rFonts w:ascii="Times New Roman" w:hAnsi="Times New Roman" w:eastAsia="宋体" w:cs="Times New Roman"/>
      <w:sz w:val="18"/>
      <w:szCs w:val="18"/>
    </w:rPr>
  </w:style>
  <w:style w:type="character" w:customStyle="1" w:styleId="249">
    <w:name w:val="标题 Char2"/>
    <w:uiPriority w:val="99"/>
    <w:rPr>
      <w:rFonts w:ascii="Calibri Light" w:hAnsi="Calibri Light" w:eastAsia="宋体" w:cs="Calibri Light"/>
      <w:b/>
      <w:bCs/>
      <w:sz w:val="32"/>
      <w:szCs w:val="32"/>
    </w:rPr>
  </w:style>
  <w:style w:type="character" w:customStyle="1" w:styleId="250">
    <w:name w:val="已访问的超链接2"/>
    <w:uiPriority w:val="99"/>
    <w:rPr>
      <w:color w:val="000000"/>
      <w:u w:val="none"/>
    </w:rPr>
  </w:style>
  <w:style w:type="character" w:customStyle="1" w:styleId="251">
    <w:name w:val="已访问的超链接3"/>
    <w:uiPriority w:val="99"/>
    <w:rPr>
      <w:color w:val="000000"/>
      <w:u w:val="none"/>
    </w:rPr>
  </w:style>
  <w:style w:type="character" w:customStyle="1" w:styleId="252">
    <w:name w:val="bluetxt1"/>
    <w:basedOn w:val="21"/>
    <w:uiPriority w:val="99"/>
    <w:rPr/>
  </w:style>
  <w:style w:type="character" w:customStyle="1" w:styleId="253">
    <w:name w:val="topic"/>
    <w:basedOn w:val="21"/>
    <w:uiPriority w:val="99"/>
    <w:rPr/>
  </w:style>
  <w:style w:type="character" w:customStyle="1" w:styleId="254">
    <w:name w:val="日期 字符"/>
    <w:link w:val="12"/>
    <w:semiHidden/>
    <w:locked/>
    <w:uiPriority w:val="99"/>
    <w:rPr>
      <w:kern w:val="2"/>
      <w:sz w:val="21"/>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56" textRotate="1"/>
    <customShpInfo spid="_x0000_s1057" textRotate="1"/>
    <customShpInfo spid="_x0000_s1058" textRotate="1"/>
    <customShpInfo spid="_x0000_s1059" textRotate="1"/>
    <customShpInfo spid="_x0000_s1060" textRotate="1"/>
    <customShpInfo spid="_x0000_s1061" textRotate="1"/>
    <customShpInfo spid="_x0000_s1062" textRotate="1"/>
    <customShpInfo spid="_x0000_s1063" textRotate="1"/>
    <customShpInfo spid="_x0000_s1064" textRotate="1"/>
    <customShpInfo spid="_x0000_s1065" textRotate="1"/>
    <customShpInfo spid="_x0000_s1066" textRotate="1"/>
    <customShpInfo spid="_x0000_s1067" textRotate="1"/>
    <customShpInfo spid="_x0000_s1068" textRotate="1"/>
    <customShpInfo spid="_x0000_s1069" textRotate="1"/>
    <customShpInfo spid="_x0000_s1070" textRotate="1"/>
    <customShpInfo spid="_x0000_s1071" textRotate="1"/>
    <customShpInfo spid="_x0000_s1072" textRotate="1"/>
    <customShpInfo spid="_x0000_s1073" textRotate="1"/>
    <customShpInfo spid="_x0000_s1074" textRotate="1"/>
    <customShpInfo spid="_x0000_s1075" textRotate="1"/>
    <customShpInfo spid="_x0000_s1076" textRotate="1"/>
    <customShpInfo spid="_x0000_s1077" textRotate="1"/>
    <customShpInfo spid="_x0000_s1078" textRotate="1"/>
    <customShpInfo spid="_x0000_s1079" textRotate="1"/>
    <customShpInfo spid="_x0000_s1080" textRotate="1"/>
    <customShpInfo spid="_x0000_s1081" textRotate="1"/>
    <customShpInfo spid="_x0000_s108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18</Pages>
  <Words>1371</Words>
  <Characters>7821</Characters>
  <Lines>65</Lines>
  <Paragraphs>18</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2017-08-03T01:25:00Z</dcterms:created>
  <dc:creator>Administrator</dc:creator>
  <cp:lastModifiedBy>伍志韬</cp:lastModifiedBy>
  <cp:lastPrinted>2017-08-11T09:14:00Z</cp:lastPrinted>
  <dcterms:modified xsi:type="dcterms:W3CDTF">2017-09-25T01:56:54Z</dcterms:modified>
  <dc:title>物联网综合标准化技术体</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