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68" w:after="312"/>
        <w:jc w:val="center"/>
        <w:rPr>
          <w:rFonts w:ascii="宋体" w:hAnsi="宋体" w:eastAsia="黑体"/>
          <w:sz w:val="56"/>
          <w:szCs w:val="52"/>
        </w:rPr>
      </w:pPr>
      <w:bookmarkStart w:id="0" w:name="_Toc435656404"/>
      <w:bookmarkEnd w:id="0"/>
      <w:bookmarkStart w:id="1" w:name="_Toc29251"/>
      <w:bookmarkStart w:id="2" w:name="_Toc435618810"/>
      <w:bookmarkStart w:id="3" w:name="_Toc422515395"/>
      <w:bookmarkStart w:id="4" w:name="_Toc417901116"/>
    </w:p>
    <w:p>
      <w:pPr>
        <w:spacing w:before="468" w:after="312"/>
        <w:jc w:val="center"/>
        <w:rPr>
          <w:rFonts w:ascii="宋体" w:hAnsi="宋体" w:eastAsia="黑体"/>
          <w:sz w:val="72"/>
          <w:szCs w:val="88"/>
        </w:rPr>
      </w:pPr>
      <w:r>
        <w:rPr>
          <w:rFonts w:hint="eastAsia" w:ascii="宋体" w:hAnsi="宋体" w:eastAsia="黑体"/>
          <w:sz w:val="72"/>
          <w:szCs w:val="88"/>
        </w:rPr>
        <w:t>国家车联网产业标准体系</w:t>
      </w:r>
      <w:bookmarkEnd w:id="1"/>
    </w:p>
    <w:p>
      <w:pPr>
        <w:spacing w:before="468" w:after="312"/>
        <w:jc w:val="center"/>
        <w:rPr>
          <w:rFonts w:ascii="宋体" w:hAnsi="宋体" w:eastAsia="黑体"/>
          <w:sz w:val="72"/>
          <w:szCs w:val="88"/>
        </w:rPr>
      </w:pPr>
      <w:r>
        <w:rPr>
          <w:rFonts w:hint="eastAsia" w:ascii="宋体" w:hAnsi="宋体" w:eastAsia="黑体"/>
          <w:sz w:val="72"/>
          <w:szCs w:val="88"/>
        </w:rPr>
        <w:t>建设指南（总体要求</w:t>
      </w:r>
      <w:r>
        <w:rPr>
          <w:rFonts w:ascii="宋体" w:hAnsi="宋体" w:eastAsia="黑体"/>
          <w:sz w:val="72"/>
          <w:szCs w:val="88"/>
        </w:rPr>
        <w:t>）</w:t>
      </w:r>
    </w:p>
    <w:p>
      <w:pPr>
        <w:spacing w:before="468" w:after="312"/>
        <w:jc w:val="center"/>
        <w:rPr>
          <w:rFonts w:ascii="宋体" w:hAnsi="宋体" w:eastAsia="仿宋_GB2312" w:cs="仿宋_GB2312"/>
          <w:sz w:val="44"/>
          <w:szCs w:val="32"/>
        </w:rPr>
      </w:pPr>
      <w:r>
        <w:rPr>
          <w:rFonts w:hint="eastAsia" w:ascii="宋体" w:hAnsi="宋体" w:eastAsia="仿宋_GB2312" w:cs="仿宋_GB2312"/>
          <w:sz w:val="44"/>
          <w:szCs w:val="32"/>
        </w:rPr>
        <w:t>（征求意见稿）</w:t>
      </w:r>
    </w:p>
    <w:p>
      <w:pPr>
        <w:spacing w:before="468" w:after="312"/>
        <w:jc w:val="center"/>
        <w:rPr>
          <w:rFonts w:ascii="宋体" w:hAnsi="宋体" w:eastAsia="仿宋_GB2312" w:cs="仿宋_GB2312"/>
          <w:sz w:val="32"/>
          <w:szCs w:val="32"/>
        </w:rPr>
      </w:pPr>
    </w:p>
    <w:p>
      <w:pPr>
        <w:spacing w:before="468" w:after="312"/>
        <w:jc w:val="center"/>
        <w:rPr>
          <w:rFonts w:ascii="宋体" w:hAnsi="宋体" w:eastAsia="仿宋_GB2312" w:cs="仿宋_GB2312"/>
          <w:sz w:val="32"/>
          <w:szCs w:val="32"/>
        </w:rPr>
      </w:pPr>
    </w:p>
    <w:p>
      <w:pPr>
        <w:spacing w:before="468" w:after="312"/>
        <w:jc w:val="center"/>
        <w:rPr>
          <w:rFonts w:ascii="宋体" w:hAnsi="宋体" w:eastAsia="仿宋_GB2312" w:cs="仿宋_GB2312"/>
          <w:sz w:val="32"/>
          <w:szCs w:val="32"/>
        </w:rPr>
      </w:pPr>
    </w:p>
    <w:p>
      <w:pPr>
        <w:spacing w:before="468" w:after="312"/>
        <w:jc w:val="center"/>
        <w:rPr>
          <w:rFonts w:ascii="宋体" w:hAnsi="宋体" w:eastAsia="仿宋_GB2312" w:cs="仿宋_GB2312"/>
          <w:sz w:val="32"/>
          <w:szCs w:val="32"/>
        </w:rPr>
      </w:pPr>
    </w:p>
    <w:p>
      <w:pPr>
        <w:pStyle w:val="16"/>
        <w:tabs>
          <w:tab w:val="right" w:leader="dot" w:pos="8296"/>
        </w:tabs>
        <w:jc w:val="center"/>
        <w:rPr>
          <w:rFonts w:ascii="宋体" w:hAnsi="宋体" w:eastAsia="黑体" w:cs="黑体"/>
          <w:sz w:val="48"/>
          <w:szCs w:val="48"/>
        </w:rPr>
        <w:sectPr>
          <w:footerReference r:id="rId4" w:type="default"/>
          <w:pgSz w:w="11906" w:h="16838"/>
          <w:pgMar w:top="1440" w:right="1800" w:bottom="1440" w:left="1800" w:header="851" w:footer="992" w:gutter="0"/>
          <w:pgNumType w:start="1"/>
          <w:cols w:space="720" w:num="1"/>
          <w:titlePg/>
          <w:docGrid w:type="linesAndChars" w:linePitch="312" w:charSpace="0"/>
        </w:sectPr>
      </w:pPr>
      <w:r>
        <w:rPr>
          <w:rFonts w:ascii="仿宋_GB2312" w:hAnsi="仿宋_GB2312" w:eastAsia="仿宋_GB2312" w:cs="仿宋_GB2312"/>
          <w:sz w:val="48"/>
          <w:szCs w:val="48"/>
        </w:rPr>
        <w:t>2017</w:t>
      </w:r>
      <w:r>
        <w:rPr>
          <w:rFonts w:hint="eastAsia" w:ascii="仿宋_GB2312" w:hAnsi="仿宋_GB2312" w:eastAsia="仿宋_GB2312" w:cs="仿宋_GB2312"/>
          <w:sz w:val="48"/>
          <w:szCs w:val="48"/>
        </w:rPr>
        <w:t>年</w:t>
      </w:r>
      <w:r>
        <w:rPr>
          <w:rFonts w:hint="eastAsia" w:ascii="仿宋_GB2312" w:hAnsi="仿宋_GB2312" w:eastAsia="仿宋_GB2312" w:cs="仿宋_GB2312"/>
          <w:sz w:val="48"/>
          <w:szCs w:val="48"/>
          <w:lang w:val="en-US" w:eastAsia="zh-CN"/>
        </w:rPr>
        <w:t>9</w:t>
      </w:r>
      <w:r>
        <w:rPr>
          <w:rFonts w:hint="eastAsia" w:ascii="仿宋_GB2312" w:hAnsi="仿宋_GB2312" w:eastAsia="仿宋_GB2312" w:cs="仿宋_GB2312"/>
          <w:sz w:val="48"/>
          <w:szCs w:val="48"/>
        </w:rPr>
        <w:t>月</w:t>
      </w:r>
      <w:r>
        <w:rPr>
          <w:rFonts w:ascii="宋体" w:hAnsi="宋体" w:eastAsia="黑体" w:cs="黑体"/>
          <w:sz w:val="48"/>
          <w:szCs w:val="48"/>
        </w:rPr>
        <w:br w:type="page"/>
      </w:r>
      <w:bookmarkStart w:id="5" w:name="_Toc423594857"/>
      <w:bookmarkStart w:id="6" w:name="_Toc423949872"/>
      <w:bookmarkStart w:id="7" w:name="_Toc423950280"/>
      <w:bookmarkStart w:id="8" w:name="_Toc424054721"/>
      <w:bookmarkStart w:id="9" w:name="_Toc424895175"/>
      <w:bookmarkStart w:id="10" w:name="_Toc424895844"/>
      <w:bookmarkStart w:id="11" w:name="_Toc424989607"/>
      <w:bookmarkStart w:id="12" w:name="_Toc432240284"/>
      <w:bookmarkStart w:id="13" w:name="_Toc435656339"/>
      <w:bookmarkStart w:id="14" w:name="_Toc423556869"/>
      <w:bookmarkStart w:id="15" w:name="_Toc422814412"/>
      <w:bookmarkStart w:id="16" w:name="_Toc423593786"/>
    </w:p>
    <w:p>
      <w:pPr>
        <w:pStyle w:val="16"/>
        <w:tabs>
          <w:tab w:val="right" w:leader="dot" w:pos="8296"/>
        </w:tabs>
        <w:jc w:val="center"/>
        <w:rPr>
          <w:rFonts w:ascii="宋体" w:hAnsi="宋体"/>
          <w:b/>
          <w:sz w:val="36"/>
          <w:szCs w:val="36"/>
          <w:lang w:val="zh-CN"/>
        </w:rPr>
      </w:pPr>
      <w:r>
        <w:rPr>
          <w:rFonts w:hint="eastAsia" w:ascii="宋体" w:hAnsi="宋体"/>
          <w:b/>
          <w:sz w:val="36"/>
          <w:szCs w:val="36"/>
          <w:lang w:val="zh-CN"/>
        </w:rPr>
        <w:t>目录</w:t>
      </w:r>
      <w:bookmarkEnd w:id="5"/>
      <w:bookmarkEnd w:id="6"/>
      <w:bookmarkEnd w:id="7"/>
      <w:bookmarkEnd w:id="8"/>
      <w:bookmarkEnd w:id="9"/>
      <w:bookmarkEnd w:id="10"/>
      <w:bookmarkEnd w:id="11"/>
      <w:bookmarkEnd w:id="12"/>
      <w:bookmarkEnd w:id="13"/>
      <w:bookmarkEnd w:id="14"/>
      <w:bookmarkEnd w:id="15"/>
      <w:bookmarkEnd w:id="16"/>
    </w:p>
    <w:p>
      <w:pPr>
        <w:rPr>
          <w:lang w:val="zh-CN"/>
        </w:rPr>
      </w:pPr>
    </w:p>
    <w:p>
      <w:pPr>
        <w:pStyle w:val="16"/>
        <w:tabs>
          <w:tab w:val="right" w:leader="dot" w:pos="8296"/>
        </w:tabs>
        <w:rPr>
          <w:rFonts w:ascii="Calibri" w:hAnsi="Calibri" w:eastAsia="宋体" w:cs="黑体"/>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HYPERLINK  \l "_Toc490492190" </w:instrText>
      </w:r>
      <w:r>
        <w:fldChar w:fldCharType="separate"/>
      </w:r>
      <w:r>
        <w:rPr>
          <w:rStyle w:val="23"/>
          <w:rFonts w:hint="eastAsia" w:ascii="黑体" w:hAnsi="黑体" w:eastAsia="黑体" w:cs="黑体"/>
          <w:sz w:val="32"/>
          <w:szCs w:val="32"/>
        </w:rPr>
        <w:t>一、总体要求</w:t>
      </w:r>
      <w:r>
        <w:rPr>
          <w:sz w:val="32"/>
          <w:szCs w:val="32"/>
        </w:rPr>
        <w:tab/>
      </w:r>
      <w:r>
        <w:rPr>
          <w:sz w:val="32"/>
          <w:szCs w:val="32"/>
        </w:rPr>
        <w:fldChar w:fldCharType="begin"/>
      </w:r>
      <w:r>
        <w:rPr>
          <w:sz w:val="32"/>
          <w:szCs w:val="32"/>
        </w:rPr>
        <w:instrText xml:space="preserve"> PAGEREF _Toc490492190 \h </w:instrText>
      </w:r>
      <w:r>
        <w:rPr>
          <w:sz w:val="32"/>
          <w:szCs w:val="32"/>
        </w:rPr>
        <w:fldChar w:fldCharType="separate"/>
      </w:r>
      <w:r>
        <w:rPr>
          <w:sz w:val="32"/>
          <w:szCs w:val="32"/>
        </w:rPr>
        <w:t>2</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"_Toc490492191" </w:instrText>
      </w:r>
      <w:r>
        <w:fldChar w:fldCharType="separate"/>
      </w:r>
      <w:r>
        <w:rPr>
          <w:rStyle w:val="23"/>
          <w:rFonts w:hint="eastAsia" w:ascii="仿宋_GB2312" w:hAnsi="仿宋_GB2312" w:eastAsia="仿宋_GB2312" w:cs="仿宋_GB2312"/>
          <w:sz w:val="32"/>
          <w:szCs w:val="32"/>
        </w:rPr>
        <w:t>（一）指导思想</w:t>
      </w:r>
      <w:r>
        <w:rPr>
          <w:sz w:val="32"/>
          <w:szCs w:val="32"/>
        </w:rPr>
        <w:tab/>
      </w:r>
      <w:r>
        <w:rPr>
          <w:sz w:val="32"/>
          <w:szCs w:val="32"/>
        </w:rPr>
        <w:fldChar w:fldCharType="begin"/>
      </w:r>
      <w:r>
        <w:rPr>
          <w:sz w:val="32"/>
          <w:szCs w:val="32"/>
        </w:rPr>
        <w:instrText xml:space="preserve"> PAGEREF _Toc490492191 \h </w:instrText>
      </w:r>
      <w:r>
        <w:rPr>
          <w:sz w:val="32"/>
          <w:szCs w:val="32"/>
        </w:rPr>
        <w:fldChar w:fldCharType="separate"/>
      </w:r>
      <w:r>
        <w:rPr>
          <w:sz w:val="32"/>
          <w:szCs w:val="32"/>
        </w:rPr>
        <w:t>2</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"_Toc490492192" </w:instrText>
      </w:r>
      <w:r>
        <w:fldChar w:fldCharType="separate"/>
      </w:r>
      <w:r>
        <w:rPr>
          <w:rStyle w:val="23"/>
          <w:rFonts w:hint="eastAsia" w:ascii="仿宋_GB2312" w:hAnsi="仿宋_GB2312" w:eastAsia="仿宋_GB2312" w:cs="仿宋_GB2312"/>
          <w:sz w:val="32"/>
          <w:szCs w:val="32"/>
        </w:rPr>
        <w:t>（二）基本原则</w:t>
      </w:r>
      <w:r>
        <w:rPr>
          <w:sz w:val="32"/>
          <w:szCs w:val="32"/>
        </w:rPr>
        <w:tab/>
      </w:r>
      <w:r>
        <w:rPr>
          <w:sz w:val="32"/>
          <w:szCs w:val="32"/>
        </w:rPr>
        <w:fldChar w:fldCharType="begin"/>
      </w:r>
      <w:r>
        <w:rPr>
          <w:sz w:val="32"/>
          <w:szCs w:val="32"/>
        </w:rPr>
        <w:instrText xml:space="preserve"> PAGEREF _Toc490492192 \h </w:instrText>
      </w:r>
      <w:r>
        <w:rPr>
          <w:sz w:val="32"/>
          <w:szCs w:val="32"/>
        </w:rPr>
        <w:fldChar w:fldCharType="separate"/>
      </w:r>
      <w:r>
        <w:rPr>
          <w:sz w:val="32"/>
          <w:szCs w:val="32"/>
        </w:rPr>
        <w:t>2</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"_Toc490492193" </w:instrText>
      </w:r>
      <w:r>
        <w:fldChar w:fldCharType="separate"/>
      </w:r>
      <w:r>
        <w:rPr>
          <w:rStyle w:val="23"/>
          <w:rFonts w:hint="eastAsia" w:ascii="仿宋_GB2312" w:hAnsi="仿宋_GB2312" w:eastAsia="仿宋_GB2312" w:cs="仿宋_GB2312"/>
          <w:sz w:val="32"/>
          <w:szCs w:val="32"/>
        </w:rPr>
        <w:t>（三）建设目标</w:t>
      </w:r>
      <w:r>
        <w:rPr>
          <w:sz w:val="32"/>
          <w:szCs w:val="32"/>
        </w:rPr>
        <w:tab/>
      </w:r>
      <w:r>
        <w:rPr>
          <w:sz w:val="32"/>
          <w:szCs w:val="32"/>
        </w:rPr>
        <w:fldChar w:fldCharType="begin"/>
      </w:r>
      <w:r>
        <w:rPr>
          <w:sz w:val="32"/>
          <w:szCs w:val="32"/>
        </w:rPr>
        <w:instrText xml:space="preserve"> PAGEREF _Toc490492193 \h </w:instrText>
      </w:r>
      <w:r>
        <w:rPr>
          <w:sz w:val="32"/>
          <w:szCs w:val="32"/>
        </w:rPr>
        <w:fldChar w:fldCharType="separate"/>
      </w:r>
      <w:r>
        <w:rPr>
          <w:sz w:val="32"/>
          <w:szCs w:val="32"/>
        </w:rPr>
        <w:t>3</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"_Toc490492194" </w:instrText>
      </w:r>
      <w:r>
        <w:fldChar w:fldCharType="separate"/>
      </w:r>
      <w:r>
        <w:rPr>
          <w:rStyle w:val="23"/>
          <w:rFonts w:hint="eastAsia" w:ascii="黑体" w:hAnsi="黑体" w:eastAsia="黑体" w:cs="黑体"/>
          <w:sz w:val="32"/>
          <w:szCs w:val="32"/>
        </w:rPr>
        <w:t>二、车联网产业标准体系结构</w:t>
      </w:r>
      <w:r>
        <w:rPr>
          <w:sz w:val="32"/>
          <w:szCs w:val="32"/>
        </w:rPr>
        <w:tab/>
      </w:r>
      <w:r>
        <w:rPr>
          <w:sz w:val="32"/>
          <w:szCs w:val="32"/>
        </w:rPr>
        <w:fldChar w:fldCharType="begin"/>
      </w:r>
      <w:r>
        <w:rPr>
          <w:sz w:val="32"/>
          <w:szCs w:val="32"/>
        </w:rPr>
        <w:instrText xml:space="preserve"> PAGEREF _Toc490492194 \h </w:instrText>
      </w:r>
      <w:r>
        <w:rPr>
          <w:sz w:val="32"/>
          <w:szCs w:val="32"/>
        </w:rPr>
        <w:fldChar w:fldCharType="separate"/>
      </w:r>
      <w:r>
        <w:rPr>
          <w:sz w:val="32"/>
          <w:szCs w:val="32"/>
        </w:rPr>
        <w:t>3</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"_Toc490492195" </w:instrText>
      </w:r>
      <w:r>
        <w:fldChar w:fldCharType="separate"/>
      </w:r>
      <w:r>
        <w:rPr>
          <w:rStyle w:val="23"/>
          <w:rFonts w:hint="eastAsia" w:ascii="仿宋_GB2312" w:hAnsi="仿宋_GB2312" w:eastAsia="仿宋_GB2312" w:cs="仿宋_GB2312"/>
          <w:sz w:val="32"/>
          <w:szCs w:val="32"/>
        </w:rPr>
        <w:t>（一）车联网产业概念</w:t>
      </w:r>
      <w:r>
        <w:rPr>
          <w:sz w:val="32"/>
          <w:szCs w:val="32"/>
        </w:rPr>
        <w:tab/>
      </w:r>
      <w:r>
        <w:rPr>
          <w:sz w:val="32"/>
          <w:szCs w:val="32"/>
        </w:rPr>
        <w:fldChar w:fldCharType="begin"/>
      </w:r>
      <w:r>
        <w:rPr>
          <w:sz w:val="32"/>
          <w:szCs w:val="32"/>
        </w:rPr>
        <w:instrText xml:space="preserve"> PAGEREF _Toc490492195 \h </w:instrText>
      </w:r>
      <w:r>
        <w:rPr>
          <w:sz w:val="32"/>
          <w:szCs w:val="32"/>
        </w:rPr>
        <w:fldChar w:fldCharType="separate"/>
      </w:r>
      <w:r>
        <w:rPr>
          <w:sz w:val="32"/>
          <w:szCs w:val="32"/>
        </w:rPr>
        <w:t>3</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"_Toc490492196" </w:instrText>
      </w:r>
      <w:r>
        <w:fldChar w:fldCharType="separate"/>
      </w:r>
      <w:r>
        <w:rPr>
          <w:rStyle w:val="23"/>
          <w:rFonts w:hint="eastAsia" w:ascii="仿宋_GB2312" w:hAnsi="仿宋_GB2312" w:eastAsia="仿宋_GB2312" w:cs="仿宋_GB2312"/>
          <w:sz w:val="32"/>
          <w:szCs w:val="32"/>
        </w:rPr>
        <w:t>（二）车联网产业标准体系架构图</w:t>
      </w:r>
      <w:r>
        <w:rPr>
          <w:sz w:val="32"/>
          <w:szCs w:val="32"/>
        </w:rPr>
        <w:tab/>
      </w:r>
      <w:r>
        <w:rPr>
          <w:sz w:val="32"/>
          <w:szCs w:val="32"/>
        </w:rPr>
        <w:fldChar w:fldCharType="begin"/>
      </w:r>
      <w:r>
        <w:rPr>
          <w:sz w:val="32"/>
          <w:szCs w:val="32"/>
        </w:rPr>
        <w:instrText xml:space="preserve"> PAGEREF _Toc490492196 \h </w:instrText>
      </w:r>
      <w:r>
        <w:rPr>
          <w:sz w:val="32"/>
          <w:szCs w:val="32"/>
        </w:rPr>
        <w:fldChar w:fldCharType="separate"/>
      </w:r>
      <w:r>
        <w:rPr>
          <w:sz w:val="32"/>
          <w:szCs w:val="32"/>
        </w:rPr>
        <w:t>4</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"_Toc490492197" </w:instrText>
      </w:r>
      <w:r>
        <w:fldChar w:fldCharType="separate"/>
      </w:r>
      <w:r>
        <w:rPr>
          <w:rStyle w:val="23"/>
          <w:rFonts w:hint="eastAsia" w:ascii="黑体" w:hAnsi="黑体" w:eastAsia="黑体" w:cs="黑体"/>
          <w:sz w:val="32"/>
          <w:szCs w:val="32"/>
        </w:rPr>
        <w:t>三、建设内容</w:t>
      </w:r>
      <w:r>
        <w:rPr>
          <w:sz w:val="32"/>
          <w:szCs w:val="32"/>
        </w:rPr>
        <w:tab/>
      </w:r>
      <w:r>
        <w:rPr>
          <w:sz w:val="32"/>
          <w:szCs w:val="32"/>
        </w:rPr>
        <w:fldChar w:fldCharType="begin"/>
      </w:r>
      <w:r>
        <w:rPr>
          <w:sz w:val="32"/>
          <w:szCs w:val="32"/>
        </w:rPr>
        <w:instrText xml:space="preserve"> PAGEREF _Toc490492197 \h </w:instrText>
      </w:r>
      <w:r>
        <w:rPr>
          <w:sz w:val="32"/>
          <w:szCs w:val="32"/>
        </w:rPr>
        <w:fldChar w:fldCharType="separate"/>
      </w:r>
      <w:r>
        <w:rPr>
          <w:sz w:val="32"/>
          <w:szCs w:val="32"/>
        </w:rPr>
        <w:t>6</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"_Toc490492198" </w:instrText>
      </w:r>
      <w:r>
        <w:fldChar w:fldCharType="separate"/>
      </w:r>
      <w:r>
        <w:rPr>
          <w:rStyle w:val="23"/>
          <w:rFonts w:hint="eastAsia" w:ascii="仿宋_GB2312" w:hAnsi="仿宋_GB2312" w:eastAsia="仿宋_GB2312" w:cs="仿宋_GB2312"/>
          <w:sz w:val="32"/>
          <w:szCs w:val="32"/>
        </w:rPr>
        <w:t>（一）智能网联汽车标准体系</w:t>
      </w:r>
      <w:r>
        <w:rPr>
          <w:sz w:val="32"/>
          <w:szCs w:val="32"/>
        </w:rPr>
        <w:tab/>
      </w:r>
      <w:r>
        <w:rPr>
          <w:sz w:val="32"/>
          <w:szCs w:val="32"/>
        </w:rPr>
        <w:fldChar w:fldCharType="begin"/>
      </w:r>
      <w:r>
        <w:rPr>
          <w:sz w:val="32"/>
          <w:szCs w:val="32"/>
        </w:rPr>
        <w:instrText xml:space="preserve"> PAGEREF _Toc490492198 \h </w:instrText>
      </w:r>
      <w:r>
        <w:rPr>
          <w:sz w:val="32"/>
          <w:szCs w:val="32"/>
        </w:rPr>
        <w:fldChar w:fldCharType="separate"/>
      </w:r>
      <w:r>
        <w:rPr>
          <w:sz w:val="32"/>
          <w:szCs w:val="32"/>
        </w:rPr>
        <w:t>6</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"_Toc490492199" </w:instrText>
      </w:r>
      <w:r>
        <w:fldChar w:fldCharType="separate"/>
      </w:r>
      <w:r>
        <w:rPr>
          <w:rStyle w:val="23"/>
          <w:rFonts w:hint="eastAsia" w:ascii="仿宋_GB2312" w:hAnsi="仿宋_GB2312" w:eastAsia="仿宋_GB2312" w:cs="仿宋_GB2312"/>
          <w:sz w:val="32"/>
          <w:szCs w:val="32"/>
        </w:rPr>
        <w:t>（二）信息通信标准体系</w:t>
      </w:r>
      <w:r>
        <w:rPr>
          <w:sz w:val="32"/>
          <w:szCs w:val="32"/>
        </w:rPr>
        <w:tab/>
      </w:r>
      <w:r>
        <w:rPr>
          <w:sz w:val="32"/>
          <w:szCs w:val="32"/>
        </w:rPr>
        <w:fldChar w:fldCharType="begin"/>
      </w:r>
      <w:r>
        <w:rPr>
          <w:sz w:val="32"/>
          <w:szCs w:val="32"/>
        </w:rPr>
        <w:instrText xml:space="preserve"> PAGEREF _Toc490492199 \h </w:instrText>
      </w:r>
      <w:r>
        <w:rPr>
          <w:sz w:val="32"/>
          <w:szCs w:val="32"/>
        </w:rPr>
        <w:fldChar w:fldCharType="separate"/>
      </w:r>
      <w:r>
        <w:rPr>
          <w:sz w:val="32"/>
          <w:szCs w:val="32"/>
        </w:rPr>
        <w:t>9</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"_Toc490492200" </w:instrText>
      </w:r>
      <w:r>
        <w:fldChar w:fldCharType="separate"/>
      </w:r>
      <w:r>
        <w:rPr>
          <w:rStyle w:val="23"/>
          <w:rFonts w:hint="eastAsia" w:ascii="仿宋" w:hAnsi="仿宋" w:eastAsia="仿宋"/>
          <w:sz w:val="32"/>
          <w:szCs w:val="32"/>
        </w:rPr>
        <w:t>（三）电子产品与服务标准体系</w:t>
      </w:r>
      <w:r>
        <w:rPr>
          <w:sz w:val="32"/>
          <w:szCs w:val="32"/>
        </w:rPr>
        <w:tab/>
      </w:r>
      <w:r>
        <w:rPr>
          <w:sz w:val="32"/>
          <w:szCs w:val="32"/>
        </w:rPr>
        <w:fldChar w:fldCharType="begin"/>
      </w:r>
      <w:r>
        <w:rPr>
          <w:sz w:val="32"/>
          <w:szCs w:val="32"/>
        </w:rPr>
        <w:instrText xml:space="preserve"> PAGEREF _Toc490492200 \h </w:instrText>
      </w:r>
      <w:r>
        <w:rPr>
          <w:sz w:val="32"/>
          <w:szCs w:val="32"/>
        </w:rPr>
        <w:fldChar w:fldCharType="separate"/>
      </w:r>
      <w:r>
        <w:rPr>
          <w:sz w:val="32"/>
          <w:szCs w:val="32"/>
        </w:rPr>
        <w:t>12</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"_Toc490492201" </w:instrText>
      </w:r>
      <w:r>
        <w:fldChar w:fldCharType="separate"/>
      </w:r>
      <w:r>
        <w:rPr>
          <w:rStyle w:val="23"/>
          <w:rFonts w:hint="eastAsia" w:ascii="仿宋_GB2312" w:hAnsi="仿宋_GB2312" w:eastAsia="仿宋_GB2312" w:cs="仿宋_GB2312"/>
          <w:sz w:val="32"/>
          <w:szCs w:val="32"/>
        </w:rPr>
        <w:t>（四）智能交通相关标准体系</w:t>
      </w:r>
      <w:r>
        <w:rPr>
          <w:sz w:val="32"/>
          <w:szCs w:val="32"/>
        </w:rPr>
        <w:tab/>
      </w:r>
      <w:r>
        <w:rPr>
          <w:sz w:val="32"/>
          <w:szCs w:val="32"/>
        </w:rPr>
        <w:fldChar w:fldCharType="begin"/>
      </w:r>
      <w:r>
        <w:rPr>
          <w:sz w:val="32"/>
          <w:szCs w:val="32"/>
        </w:rPr>
        <w:instrText xml:space="preserve"> PAGEREF _Toc490492201 \h </w:instrText>
      </w:r>
      <w:r>
        <w:rPr>
          <w:sz w:val="32"/>
          <w:szCs w:val="32"/>
        </w:rPr>
        <w:fldChar w:fldCharType="separate"/>
      </w:r>
      <w:r>
        <w:rPr>
          <w:sz w:val="32"/>
          <w:szCs w:val="32"/>
        </w:rPr>
        <w:t>15</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"_Toc490492202" </w:instrText>
      </w:r>
      <w:r>
        <w:fldChar w:fldCharType="separate"/>
      </w:r>
      <w:r>
        <w:rPr>
          <w:rStyle w:val="23"/>
          <w:rFonts w:hint="eastAsia" w:ascii="仿宋_GB2312" w:hAnsi="仿宋_GB2312" w:eastAsia="仿宋_GB2312" w:cs="仿宋_GB2312"/>
          <w:sz w:val="32"/>
          <w:szCs w:val="32"/>
        </w:rPr>
        <w:t>（五）车辆智能管理标准体系</w:t>
      </w:r>
      <w:r>
        <w:rPr>
          <w:sz w:val="32"/>
          <w:szCs w:val="32"/>
        </w:rPr>
        <w:tab/>
      </w:r>
      <w:r>
        <w:rPr>
          <w:sz w:val="32"/>
          <w:szCs w:val="32"/>
        </w:rPr>
        <w:fldChar w:fldCharType="begin"/>
      </w:r>
      <w:r>
        <w:rPr>
          <w:sz w:val="32"/>
          <w:szCs w:val="32"/>
        </w:rPr>
        <w:instrText xml:space="preserve"> PAGEREF _Toc490492202 \h </w:instrText>
      </w:r>
      <w:r>
        <w:rPr>
          <w:sz w:val="32"/>
          <w:szCs w:val="32"/>
        </w:rPr>
        <w:fldChar w:fldCharType="separate"/>
      </w:r>
      <w:r>
        <w:rPr>
          <w:sz w:val="32"/>
          <w:szCs w:val="32"/>
        </w:rPr>
        <w:t>18</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"_Toc490492203" </w:instrText>
      </w:r>
      <w:r>
        <w:fldChar w:fldCharType="separate"/>
      </w:r>
      <w:r>
        <w:rPr>
          <w:rStyle w:val="23"/>
          <w:rFonts w:hint="eastAsia" w:ascii="黑体" w:hAnsi="黑体" w:eastAsia="黑体" w:cs="黑体"/>
          <w:sz w:val="32"/>
          <w:szCs w:val="32"/>
        </w:rPr>
        <w:t>四、组织实施</w:t>
      </w:r>
      <w:r>
        <w:rPr>
          <w:sz w:val="32"/>
          <w:szCs w:val="32"/>
        </w:rPr>
        <w:tab/>
      </w:r>
      <w:r>
        <w:rPr>
          <w:sz w:val="32"/>
          <w:szCs w:val="32"/>
        </w:rPr>
        <w:fldChar w:fldCharType="begin"/>
      </w:r>
      <w:r>
        <w:rPr>
          <w:sz w:val="32"/>
          <w:szCs w:val="32"/>
        </w:rPr>
        <w:instrText xml:space="preserve"> PAGEREF _Toc490492203 \h </w:instrText>
      </w:r>
      <w:r>
        <w:rPr>
          <w:sz w:val="32"/>
          <w:szCs w:val="32"/>
        </w:rPr>
        <w:fldChar w:fldCharType="separate"/>
      </w:r>
      <w:r>
        <w:rPr>
          <w:sz w:val="32"/>
          <w:szCs w:val="32"/>
        </w:rPr>
        <w:t>20</w:t>
      </w:r>
      <w:r>
        <w:rPr>
          <w:sz w:val="32"/>
          <w:szCs w:val="32"/>
        </w:rPr>
        <w:fldChar w:fldCharType="end"/>
      </w:r>
      <w:r>
        <w:fldChar w:fldCharType="end"/>
      </w:r>
    </w:p>
    <w:p>
      <w:pPr>
        <w:rPr>
          <w:rFonts w:ascii="仿宋" w:hAnsi="仿宋" w:eastAsia="仿宋"/>
          <w:sz w:val="32"/>
          <w:szCs w:val="32"/>
        </w:rPr>
        <w:sectPr>
          <w:footerReference r:id="rId5" w:type="first"/>
          <w:type w:val="continuous"/>
          <w:pgSz w:w="11906" w:h="16838"/>
          <w:pgMar w:top="1440" w:right="1800" w:bottom="1440" w:left="1800" w:header="851" w:footer="992" w:gutter="0"/>
          <w:pgNumType w:start="1"/>
          <w:cols w:space="720" w:num="1"/>
          <w:titlePg/>
          <w:docGrid w:type="linesAndChars" w:linePitch="312" w:charSpace="0"/>
        </w:sectPr>
      </w:pPr>
      <w:r>
        <w:rPr>
          <w:rFonts w:ascii="宋体" w:hAnsi="宋体"/>
          <w:sz w:val="32"/>
          <w:szCs w:val="32"/>
        </w:rPr>
        <w:fldChar w:fldCharType="end"/>
      </w:r>
      <w:bookmarkStart w:id="17" w:name="_Toc421044825"/>
      <w:bookmarkEnd w:id="17"/>
      <w:bookmarkStart w:id="18" w:name="_Toc421044826"/>
      <w:bookmarkEnd w:id="18"/>
      <w:bookmarkStart w:id="19" w:name="_Toc421044827"/>
      <w:bookmarkEnd w:id="19"/>
      <w:bookmarkStart w:id="20" w:name="_Toc421083397"/>
      <w:bookmarkEnd w:id="20"/>
      <w:bookmarkStart w:id="21" w:name="_Toc421044828"/>
      <w:bookmarkEnd w:id="21"/>
      <w:bookmarkStart w:id="22" w:name="_Toc421083398"/>
      <w:bookmarkEnd w:id="22"/>
      <w:bookmarkStart w:id="23" w:name="_Toc421044829"/>
      <w:bookmarkEnd w:id="23"/>
      <w:bookmarkStart w:id="24" w:name="_Toc421083399"/>
      <w:bookmarkEnd w:id="24"/>
      <w:bookmarkStart w:id="25" w:name="_Toc421044830"/>
      <w:bookmarkEnd w:id="25"/>
      <w:bookmarkStart w:id="26" w:name="_Toc421083400"/>
      <w:bookmarkEnd w:id="26"/>
      <w:bookmarkStart w:id="27" w:name="_Toc435656340"/>
      <w:bookmarkEnd w:id="27"/>
      <w:bookmarkStart w:id="28" w:name="_Toc435656341"/>
      <w:bookmarkEnd w:id="28"/>
      <w:bookmarkStart w:id="29" w:name="_Toc435656342"/>
      <w:bookmarkEnd w:id="29"/>
      <w:bookmarkStart w:id="30" w:name="_Toc435656343"/>
      <w:bookmarkEnd w:id="30"/>
      <w:bookmarkStart w:id="31" w:name="_Toc435656344"/>
      <w:bookmarkEnd w:id="31"/>
      <w:bookmarkStart w:id="32" w:name="_Toc435656345"/>
      <w:bookmarkEnd w:id="32"/>
      <w:bookmarkStart w:id="33" w:name="_Toc435656346"/>
      <w:bookmarkEnd w:id="33"/>
      <w:bookmarkStart w:id="34" w:name="_Toc435656347"/>
      <w:bookmarkEnd w:id="34"/>
      <w:bookmarkStart w:id="35" w:name="_Toc435656348"/>
      <w:bookmarkEnd w:id="35"/>
      <w:bookmarkStart w:id="36" w:name="_Toc435656349"/>
      <w:bookmarkEnd w:id="36"/>
      <w:bookmarkStart w:id="37" w:name="_Toc435656350"/>
      <w:bookmarkEnd w:id="37"/>
      <w:bookmarkStart w:id="38" w:name="_Toc435656351"/>
      <w:bookmarkEnd w:id="38"/>
      <w:bookmarkStart w:id="39" w:name="_Toc435656352"/>
      <w:bookmarkEnd w:id="39"/>
      <w:bookmarkStart w:id="40" w:name="_Toc435656353"/>
      <w:bookmarkEnd w:id="40"/>
      <w:bookmarkStart w:id="41" w:name="_Toc435656354"/>
      <w:bookmarkEnd w:id="41"/>
      <w:bookmarkStart w:id="42" w:name="_Toc435656355"/>
      <w:bookmarkEnd w:id="42"/>
      <w:bookmarkStart w:id="43" w:name="_Toc435656356"/>
      <w:bookmarkEnd w:id="43"/>
      <w:bookmarkStart w:id="44" w:name="_Toc435656357"/>
      <w:bookmarkEnd w:id="44"/>
      <w:bookmarkStart w:id="45" w:name="_Toc435656358"/>
      <w:bookmarkEnd w:id="45"/>
      <w:bookmarkStart w:id="46" w:name="_Toc435656359"/>
      <w:bookmarkEnd w:id="46"/>
      <w:bookmarkStart w:id="47" w:name="_Toc435656360"/>
      <w:bookmarkEnd w:id="47"/>
      <w:bookmarkStart w:id="48" w:name="_Toc435656361"/>
      <w:bookmarkEnd w:id="48"/>
      <w:bookmarkStart w:id="49" w:name="_Toc435656362"/>
      <w:bookmarkEnd w:id="49"/>
      <w:bookmarkStart w:id="50" w:name="_Toc435656363"/>
      <w:bookmarkEnd w:id="50"/>
      <w:bookmarkStart w:id="51" w:name="_Toc435656364"/>
      <w:bookmarkEnd w:id="51"/>
      <w:bookmarkStart w:id="52" w:name="_Toc435656365"/>
      <w:bookmarkEnd w:id="52"/>
      <w:r>
        <w:rPr>
          <w:rFonts w:ascii="仿宋" w:hAnsi="仿宋" w:eastAsia="仿宋"/>
          <w:sz w:val="32"/>
          <w:szCs w:val="32"/>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前  言</w:t>
      </w:r>
    </w:p>
    <w:p>
      <w:pPr>
        <w:jc w:val="center"/>
        <w:rPr>
          <w:rFonts w:ascii="方正小标宋简体" w:hAnsi="方正小标宋简体" w:eastAsia="方正小标宋简体" w:cs="方正小标宋简体"/>
          <w:sz w:val="36"/>
          <w:szCs w:val="36"/>
        </w:rPr>
      </w:pPr>
    </w:p>
    <w:p>
      <w:pPr>
        <w:ind w:right="-6" w:rightChars="-3" w:firstLine="641"/>
        <w:jc w:val="both"/>
        <w:rPr>
          <w:rFonts w:ascii="仿宋" w:hAnsi="仿宋" w:eastAsia="仿宋"/>
          <w:sz w:val="32"/>
          <w:szCs w:val="32"/>
        </w:rPr>
      </w:pPr>
      <w:r>
        <w:rPr>
          <w:rFonts w:hint="eastAsia" w:ascii="仿宋" w:hAnsi="仿宋" w:eastAsia="仿宋"/>
          <w:sz w:val="32"/>
          <w:szCs w:val="30"/>
        </w:rPr>
        <w:t>车联网产业是汽车、电子、信息通信、道路交通运输等行业深度融合的新型产业，</w:t>
      </w:r>
      <w:r>
        <w:rPr>
          <w:rFonts w:hint="eastAsia" w:ascii="仿宋" w:hAnsi="仿宋" w:eastAsia="仿宋" w:cs="宋体"/>
          <w:bCs/>
          <w:kern w:val="0"/>
          <w:sz w:val="32"/>
          <w:szCs w:val="32"/>
        </w:rPr>
        <w:t>是全球创新热点和未来发展制高点</w:t>
      </w:r>
      <w:r>
        <w:rPr>
          <w:rFonts w:hint="eastAsia" w:ascii="仿宋" w:hAnsi="仿宋" w:eastAsia="仿宋"/>
          <w:sz w:val="32"/>
          <w:szCs w:val="30"/>
        </w:rPr>
        <w:t>。发展</w:t>
      </w:r>
      <w:r>
        <w:rPr>
          <w:rFonts w:ascii="仿宋" w:hAnsi="仿宋" w:eastAsia="仿宋"/>
          <w:sz w:val="32"/>
          <w:szCs w:val="30"/>
        </w:rPr>
        <w:t>车联网产业</w:t>
      </w:r>
      <w:r>
        <w:rPr>
          <w:rFonts w:hint="eastAsia" w:ascii="仿宋" w:hAnsi="仿宋" w:eastAsia="仿宋"/>
          <w:sz w:val="32"/>
          <w:szCs w:val="30"/>
        </w:rPr>
        <w:t>，</w:t>
      </w:r>
      <w:r>
        <w:rPr>
          <w:rFonts w:ascii="仿宋" w:hAnsi="仿宋" w:eastAsia="仿宋"/>
          <w:sz w:val="32"/>
          <w:szCs w:val="30"/>
        </w:rPr>
        <w:t>将推动</w:t>
      </w:r>
      <w:r>
        <w:rPr>
          <w:rFonts w:hint="eastAsia" w:ascii="仿宋" w:hAnsi="仿宋" w:eastAsia="仿宋"/>
          <w:sz w:val="32"/>
          <w:szCs w:val="30"/>
        </w:rPr>
        <w:t>车辆</w:t>
      </w:r>
      <w:r>
        <w:rPr>
          <w:rFonts w:ascii="仿宋" w:hAnsi="仿宋" w:eastAsia="仿宋"/>
          <w:sz w:val="32"/>
          <w:szCs w:val="30"/>
        </w:rPr>
        <w:t>、道路</w:t>
      </w:r>
      <w:r>
        <w:rPr>
          <w:rFonts w:hint="eastAsia" w:ascii="仿宋" w:hAnsi="仿宋" w:eastAsia="仿宋"/>
          <w:sz w:val="32"/>
          <w:szCs w:val="30"/>
        </w:rPr>
        <w:t>、行人、</w:t>
      </w:r>
      <w:r>
        <w:rPr>
          <w:rFonts w:ascii="仿宋" w:hAnsi="仿宋" w:eastAsia="仿宋"/>
          <w:sz w:val="32"/>
          <w:szCs w:val="30"/>
        </w:rPr>
        <w:t>云</w:t>
      </w:r>
      <w:r>
        <w:rPr>
          <w:rFonts w:hint="eastAsia" w:ascii="仿宋" w:hAnsi="仿宋" w:eastAsia="仿宋"/>
          <w:sz w:val="32"/>
          <w:szCs w:val="30"/>
        </w:rPr>
        <w:t>平台的全方位连接和数据深度交互，完善应用</w:t>
      </w:r>
      <w:r>
        <w:rPr>
          <w:rFonts w:ascii="仿宋" w:hAnsi="仿宋" w:eastAsia="仿宋"/>
          <w:sz w:val="32"/>
          <w:szCs w:val="30"/>
        </w:rPr>
        <w:t>服务体系</w:t>
      </w:r>
      <w:r>
        <w:rPr>
          <w:rFonts w:hint="eastAsia" w:ascii="仿宋" w:hAnsi="仿宋" w:eastAsia="仿宋"/>
          <w:sz w:val="32"/>
          <w:szCs w:val="30"/>
        </w:rPr>
        <w:t>，提升汽车智能网联化水平，促进</w:t>
      </w:r>
      <w:r>
        <w:rPr>
          <w:rFonts w:ascii="仿宋" w:hAnsi="仿宋" w:eastAsia="仿宋"/>
          <w:sz w:val="32"/>
          <w:szCs w:val="30"/>
        </w:rPr>
        <w:t>信息消费，</w:t>
      </w:r>
      <w:r>
        <w:rPr>
          <w:rFonts w:hint="eastAsia" w:ascii="仿宋" w:hAnsi="仿宋" w:eastAsia="仿宋" w:cs="宋体"/>
          <w:bCs/>
          <w:kern w:val="0"/>
          <w:sz w:val="32"/>
          <w:szCs w:val="32"/>
        </w:rPr>
        <w:t>对我国</w:t>
      </w:r>
      <w:r>
        <w:rPr>
          <w:rFonts w:ascii="仿宋" w:hAnsi="仿宋" w:eastAsia="仿宋" w:cs="宋体"/>
          <w:bCs/>
          <w:kern w:val="0"/>
          <w:sz w:val="32"/>
          <w:szCs w:val="32"/>
        </w:rPr>
        <w:t>实施创新驱动</w:t>
      </w:r>
      <w:r>
        <w:rPr>
          <w:rFonts w:hint="eastAsia" w:ascii="仿宋" w:hAnsi="仿宋" w:eastAsia="仿宋" w:cs="宋体"/>
          <w:bCs/>
          <w:kern w:val="0"/>
          <w:sz w:val="32"/>
          <w:szCs w:val="32"/>
        </w:rPr>
        <w:t>发展、推进</w:t>
      </w:r>
      <w:r>
        <w:rPr>
          <w:rFonts w:ascii="仿宋" w:hAnsi="仿宋" w:eastAsia="仿宋" w:cs="宋体"/>
          <w:bCs/>
          <w:kern w:val="0"/>
          <w:sz w:val="32"/>
          <w:szCs w:val="32"/>
        </w:rPr>
        <w:t>供给侧</w:t>
      </w:r>
      <w:r>
        <w:rPr>
          <w:rFonts w:hint="eastAsia" w:ascii="仿宋" w:hAnsi="仿宋" w:eastAsia="仿宋" w:cs="宋体"/>
          <w:bCs/>
          <w:kern w:val="0"/>
          <w:sz w:val="32"/>
          <w:szCs w:val="32"/>
        </w:rPr>
        <w:t>结构</w:t>
      </w:r>
      <w:r>
        <w:rPr>
          <w:rFonts w:ascii="仿宋" w:hAnsi="仿宋" w:eastAsia="仿宋" w:cs="宋体"/>
          <w:bCs/>
          <w:kern w:val="0"/>
          <w:sz w:val="32"/>
          <w:szCs w:val="32"/>
        </w:rPr>
        <w:t>性改革</w:t>
      </w:r>
      <w:r>
        <w:rPr>
          <w:rFonts w:hint="eastAsia" w:ascii="仿宋" w:hAnsi="仿宋" w:eastAsia="仿宋" w:cs="宋体"/>
          <w:bCs/>
          <w:kern w:val="0"/>
          <w:sz w:val="32"/>
          <w:szCs w:val="32"/>
        </w:rPr>
        <w:t>、</w:t>
      </w:r>
      <w:r>
        <w:rPr>
          <w:rFonts w:ascii="仿宋" w:hAnsi="仿宋" w:eastAsia="仿宋" w:cs="宋体"/>
          <w:bCs/>
          <w:kern w:val="0"/>
          <w:sz w:val="32"/>
          <w:szCs w:val="32"/>
        </w:rPr>
        <w:t>建设制造强国和</w:t>
      </w:r>
      <w:r>
        <w:rPr>
          <w:rFonts w:hint="eastAsia" w:ascii="仿宋" w:hAnsi="仿宋" w:eastAsia="仿宋" w:cs="宋体"/>
          <w:bCs/>
          <w:kern w:val="0"/>
          <w:sz w:val="32"/>
          <w:szCs w:val="32"/>
        </w:rPr>
        <w:t>网络</w:t>
      </w:r>
      <w:r>
        <w:rPr>
          <w:rFonts w:ascii="仿宋" w:hAnsi="仿宋" w:eastAsia="仿宋" w:cs="宋体"/>
          <w:bCs/>
          <w:kern w:val="0"/>
          <w:sz w:val="32"/>
          <w:szCs w:val="32"/>
        </w:rPr>
        <w:t>强国</w:t>
      </w:r>
      <w:r>
        <w:rPr>
          <w:rFonts w:hint="eastAsia" w:ascii="仿宋" w:hAnsi="仿宋" w:eastAsia="仿宋" w:cs="宋体"/>
          <w:bCs/>
          <w:kern w:val="0"/>
          <w:sz w:val="32"/>
          <w:szCs w:val="32"/>
        </w:rPr>
        <w:t>具</w:t>
      </w:r>
      <w:r>
        <w:rPr>
          <w:rFonts w:ascii="仿宋" w:hAnsi="仿宋" w:eastAsia="仿宋" w:cs="宋体"/>
          <w:bCs/>
          <w:kern w:val="0"/>
          <w:sz w:val="32"/>
          <w:szCs w:val="32"/>
        </w:rPr>
        <w:t>有</w:t>
      </w:r>
      <w:r>
        <w:rPr>
          <w:rFonts w:hint="eastAsia" w:ascii="仿宋" w:hAnsi="仿宋" w:eastAsia="仿宋" w:cs="宋体"/>
          <w:bCs/>
          <w:kern w:val="0"/>
          <w:sz w:val="32"/>
          <w:szCs w:val="32"/>
        </w:rPr>
        <w:t>重要意义。</w:t>
      </w:r>
    </w:p>
    <w:p>
      <w:pPr>
        <w:ind w:right="-6" w:rightChars="-3" w:firstLine="641"/>
        <w:jc w:val="both"/>
        <w:rPr>
          <w:rFonts w:ascii="仿宋_GB2312" w:hAnsi="仿宋_GB2312" w:eastAsia="仿宋_GB2312" w:cs="仿宋_GB2312"/>
          <w:sz w:val="32"/>
          <w:szCs w:val="32"/>
        </w:rPr>
      </w:pPr>
      <w:r>
        <w:rPr>
          <w:rFonts w:ascii="仿宋" w:hAnsi="仿宋" w:eastAsia="仿宋"/>
          <w:sz w:val="32"/>
          <w:szCs w:val="32"/>
        </w:rPr>
        <w:t>2015</w:t>
      </w:r>
      <w:r>
        <w:rPr>
          <w:rFonts w:hint="eastAsia" w:ascii="仿宋" w:hAnsi="仿宋" w:eastAsia="仿宋"/>
          <w:sz w:val="32"/>
          <w:szCs w:val="32"/>
        </w:rPr>
        <w:t>年国务院相继发布了《中国制造</w:t>
      </w:r>
      <w:r>
        <w:rPr>
          <w:rFonts w:ascii="仿宋" w:hAnsi="仿宋" w:eastAsia="仿宋"/>
          <w:sz w:val="32"/>
          <w:szCs w:val="32"/>
        </w:rPr>
        <w:t>2025</w:t>
      </w:r>
      <w:r>
        <w:rPr>
          <w:rFonts w:hint="eastAsia" w:ascii="仿宋" w:hAnsi="仿宋" w:eastAsia="仿宋"/>
          <w:sz w:val="32"/>
          <w:szCs w:val="32"/>
        </w:rPr>
        <w:t>》和《关于积极推进“互联网</w:t>
      </w:r>
      <w:r>
        <w:rPr>
          <w:rFonts w:ascii="仿宋" w:hAnsi="仿宋" w:eastAsia="仿宋"/>
          <w:sz w:val="32"/>
          <w:szCs w:val="32"/>
        </w:rPr>
        <w:t>+</w:t>
      </w:r>
      <w:r>
        <w:rPr>
          <w:rFonts w:hint="eastAsia" w:ascii="仿宋" w:hAnsi="仿宋" w:eastAsia="仿宋"/>
          <w:sz w:val="32"/>
          <w:szCs w:val="32"/>
        </w:rPr>
        <w:t>”行动的指导意见》，车联网产业成为“中国制造</w:t>
      </w:r>
      <w:r>
        <w:rPr>
          <w:rFonts w:ascii="仿宋" w:hAnsi="仿宋" w:eastAsia="仿宋"/>
          <w:sz w:val="32"/>
          <w:szCs w:val="32"/>
        </w:rPr>
        <w:t>2025</w:t>
      </w:r>
      <w:r>
        <w:rPr>
          <w:rFonts w:hint="eastAsia" w:ascii="仿宋" w:hAnsi="仿宋" w:eastAsia="仿宋"/>
          <w:sz w:val="32"/>
          <w:szCs w:val="32"/>
        </w:rPr>
        <w:t>”和“互联网</w:t>
      </w:r>
      <w:r>
        <w:rPr>
          <w:rFonts w:ascii="仿宋" w:hAnsi="仿宋" w:eastAsia="仿宋"/>
          <w:sz w:val="32"/>
          <w:szCs w:val="32"/>
        </w:rPr>
        <w:t>+</w:t>
      </w:r>
      <w:r>
        <w:rPr>
          <w:rFonts w:hint="eastAsia" w:ascii="仿宋" w:hAnsi="仿宋" w:eastAsia="仿宋"/>
          <w:sz w:val="32"/>
          <w:szCs w:val="32"/>
        </w:rPr>
        <w:t>”发展战略的重要内容。为了加强顶层设计，</w:t>
      </w:r>
      <w:r>
        <w:fldChar w:fldCharType="begin"/>
      </w:r>
      <w:r>
        <w:instrText xml:space="preserve">HYPERLINK "http://money.163.com/keywords/6/a/63a852a8/1.html" </w:instrText>
      </w:r>
      <w:r>
        <w:fldChar w:fldCharType="separate"/>
      </w:r>
      <w:r>
        <w:rPr>
          <w:rFonts w:hint="eastAsia" w:ascii="仿宋" w:hAnsi="仿宋" w:eastAsia="仿宋"/>
          <w:sz w:val="32"/>
          <w:szCs w:val="32"/>
        </w:rPr>
        <w:t>推动</w:t>
      </w:r>
      <w:r>
        <w:fldChar w:fldCharType="end"/>
      </w:r>
      <w:r>
        <w:rPr>
          <w:rFonts w:hint="eastAsia" w:ascii="仿宋" w:hAnsi="仿宋" w:eastAsia="仿宋"/>
          <w:sz w:val="32"/>
          <w:szCs w:val="32"/>
        </w:rPr>
        <w:t>车联网产业标准制定，</w:t>
      </w:r>
      <w:r>
        <w:rPr>
          <w:rFonts w:hint="eastAsia" w:ascii="仿宋" w:hAnsi="仿宋" w:eastAsia="仿宋"/>
          <w:sz w:val="32"/>
          <w:szCs w:val="32"/>
          <w:lang w:eastAsia="zh-CN"/>
        </w:rPr>
        <w:t>特</w:t>
      </w:r>
      <w:r>
        <w:rPr>
          <w:rFonts w:hint="eastAsia" w:ascii="仿宋" w:hAnsi="仿宋" w:eastAsia="仿宋"/>
          <w:sz w:val="32"/>
          <w:szCs w:val="32"/>
        </w:rPr>
        <w:t>组织制定《国家车联网产业标准体系建设指南》。</w:t>
      </w:r>
      <w:bookmarkStart w:id="135" w:name="_GoBack"/>
      <w:bookmarkEnd w:id="135"/>
    </w:p>
    <w:p>
      <w:pPr>
        <w:rPr>
          <w:rFonts w:ascii="黑体" w:hAnsi="黑体" w:eastAsia="黑体" w:cs="黑体"/>
          <w:sz w:val="36"/>
          <w:szCs w:val="36"/>
        </w:rPr>
      </w:pPr>
      <w:r>
        <w:rPr>
          <w:rFonts w:ascii="黑体" w:hAnsi="黑体" w:eastAsia="黑体" w:cs="黑体"/>
          <w:b/>
          <w:bCs/>
          <w:sz w:val="36"/>
          <w:szCs w:val="36"/>
        </w:rPr>
        <w:br w:type="page"/>
      </w:r>
    </w:p>
    <w:p>
      <w:pPr>
        <w:pStyle w:val="2"/>
        <w:spacing w:before="0" w:after="0" w:line="240" w:lineRule="auto"/>
        <w:rPr>
          <w:rFonts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    </w:t>
      </w:r>
      <w:bookmarkStart w:id="53" w:name="_Toc490492190"/>
      <w:r>
        <w:rPr>
          <w:rFonts w:hint="eastAsia" w:ascii="黑体" w:hAnsi="黑体" w:eastAsia="黑体" w:cs="黑体"/>
          <w:b w:val="0"/>
          <w:bCs w:val="0"/>
          <w:kern w:val="2"/>
          <w:sz w:val="36"/>
          <w:szCs w:val="36"/>
        </w:rPr>
        <w:t>一、总体要求</w:t>
      </w:r>
      <w:bookmarkEnd w:id="53"/>
    </w:p>
    <w:p>
      <w:pPr>
        <w:pStyle w:val="2"/>
        <w:spacing w:before="156" w:beforeLines="50" w:after="156" w:afterLines="50" w:line="240" w:lineRule="auto"/>
        <w:rPr>
          <w:rFonts w:ascii="仿宋_GB2312" w:hAnsi="仿宋_GB2312" w:eastAsia="仿宋_GB2312" w:cs="仿宋_GB2312"/>
          <w:sz w:val="32"/>
          <w:szCs w:val="32"/>
        </w:rPr>
      </w:pPr>
      <w:r>
        <w:rPr>
          <w:rFonts w:hint="eastAsia" w:ascii="仿宋" w:hAnsi="仿宋" w:eastAsia="仿宋"/>
          <w:sz w:val="32"/>
          <w:szCs w:val="32"/>
        </w:rPr>
        <w:t xml:space="preserve">    </w:t>
      </w:r>
      <w:bookmarkStart w:id="54" w:name="_Toc490492191"/>
      <w:r>
        <w:rPr>
          <w:rFonts w:hint="eastAsia" w:ascii="仿宋_GB2312" w:hAnsi="仿宋_GB2312" w:eastAsia="仿宋_GB2312" w:cs="仿宋_GB2312"/>
          <w:sz w:val="32"/>
          <w:szCs w:val="32"/>
        </w:rPr>
        <w:t>（一）指导思想</w:t>
      </w:r>
      <w:bookmarkEnd w:id="54"/>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根据《国务院深化标准化工作改革方案》的要求，以贯彻落实</w:t>
      </w:r>
      <w:r>
        <w:rPr>
          <w:rFonts w:hint="eastAsia" w:ascii="仿宋_GB2312" w:hAnsi="仿宋_GB2312" w:eastAsia="仿宋_GB2312" w:cs="仿宋_GB2312"/>
          <w:sz w:val="32"/>
          <w:szCs w:val="32"/>
        </w:rPr>
        <w:t>《中国制造2025》和《关于积极推进“互联网+”行动的指导意见》为目标，在车联网产业领域聚焦智能网联汽车、信息通信、电子产品与服务、车辆智能管理和智能交通相关领域，充分发挥标准在车联网产业生态环境构建中的基础引领和协调作用，为打造自主可控、具有核心技术、开放协同的车联网产业提供支撑。</w:t>
      </w:r>
    </w:p>
    <w:p>
      <w:pPr>
        <w:pStyle w:val="2"/>
        <w:spacing w:before="156" w:beforeLines="50" w:after="156" w:afterLines="50" w:line="240" w:lineRule="auto"/>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bookmarkStart w:id="55" w:name="_Toc490492192"/>
      <w:r>
        <w:rPr>
          <w:rFonts w:hint="eastAsia" w:ascii="仿宋_GB2312" w:hAnsi="仿宋_GB2312" w:eastAsia="仿宋_GB2312" w:cs="仿宋_GB2312"/>
          <w:sz w:val="32"/>
          <w:szCs w:val="32"/>
        </w:rPr>
        <w:t>（二）基本原则</w:t>
      </w:r>
      <w:bookmarkEnd w:id="55"/>
    </w:p>
    <w:p>
      <w:pPr>
        <w:ind w:firstLine="742" w:firstLineChars="231"/>
        <w:jc w:val="both"/>
        <w:rPr>
          <w:rFonts w:ascii="仿宋_GB2312" w:hAnsi="仿宋_GB2312" w:eastAsia="仿宋_GB2312" w:cs="仿宋_GB2312"/>
          <w:sz w:val="32"/>
          <w:szCs w:val="32"/>
        </w:rPr>
      </w:pPr>
      <w:bookmarkStart w:id="56" w:name="_Toc423950293"/>
      <w:bookmarkStart w:id="57" w:name="_Toc423949885"/>
      <w:bookmarkStart w:id="58" w:name="_Toc423556881"/>
      <w:bookmarkStart w:id="59" w:name="_Toc424054734"/>
      <w:bookmarkStart w:id="60" w:name="_Toc422814423"/>
      <w:bookmarkStart w:id="61" w:name="_Toc422558679"/>
      <w:bookmarkStart w:id="62" w:name="_Toc423594869"/>
      <w:bookmarkStart w:id="63" w:name="_Toc423593798"/>
      <w:bookmarkStart w:id="64" w:name="_Toc422503757"/>
      <w:r>
        <w:rPr>
          <w:rFonts w:hint="eastAsia" w:ascii="仿宋_GB2312" w:hAnsi="仿宋_GB2312" w:eastAsia="仿宋_GB2312" w:cs="仿宋_GB2312"/>
          <w:b/>
          <w:bCs/>
          <w:kern w:val="0"/>
          <w:sz w:val="32"/>
          <w:szCs w:val="30"/>
        </w:rPr>
        <w:t>政府引导，企业主体。</w:t>
      </w:r>
      <w:r>
        <w:rPr>
          <w:rFonts w:hint="eastAsia" w:ascii="仿宋_GB2312" w:hAnsi="仿宋_GB2312" w:eastAsia="仿宋_GB2312" w:cs="仿宋_GB2312"/>
          <w:sz w:val="32"/>
          <w:szCs w:val="30"/>
        </w:rPr>
        <w:t>发挥政府在顶层设计、组织协调和政策制定等方面的引导作用，发挥企业在技术创新、产业化和市场推广等方面的主体作用，</w:t>
      </w:r>
      <w:r>
        <w:rPr>
          <w:rFonts w:hint="eastAsia" w:ascii="仿宋_GB2312" w:hAnsi="仿宋_GB2312" w:eastAsia="仿宋_GB2312" w:cs="仿宋_GB2312"/>
          <w:sz w:val="32"/>
          <w:szCs w:val="32"/>
        </w:rPr>
        <w:t>政府</w:t>
      </w:r>
      <w:r>
        <w:rPr>
          <w:rFonts w:hint="eastAsia" w:ascii="仿宋_GB2312" w:hAnsi="仿宋_GB2312" w:eastAsia="仿宋_GB2312" w:cs="仿宋_GB2312"/>
          <w:color w:val="000000"/>
          <w:sz w:val="32"/>
          <w:szCs w:val="32"/>
        </w:rPr>
        <w:t>引导</w:t>
      </w:r>
      <w:r>
        <w:rPr>
          <w:rFonts w:hint="eastAsia" w:ascii="仿宋_GB2312" w:hAnsi="仿宋_GB2312" w:eastAsia="仿宋_GB2312" w:cs="仿宋_GB2312"/>
          <w:sz w:val="32"/>
          <w:szCs w:val="32"/>
        </w:rPr>
        <w:t>和市场驱动相结合，推动车联网产业标准化工作。</w:t>
      </w:r>
    </w:p>
    <w:p>
      <w:pPr>
        <w:ind w:firstLine="742" w:firstLineChars="231"/>
        <w:jc w:val="both"/>
        <w:rPr>
          <w:rFonts w:ascii="仿宋_GB2312" w:hAnsi="仿宋_GB2312" w:eastAsia="仿宋_GB2312" w:cs="仿宋_GB2312"/>
          <w:sz w:val="32"/>
          <w:szCs w:val="30"/>
        </w:rPr>
      </w:pPr>
      <w:r>
        <w:rPr>
          <w:rFonts w:hint="eastAsia" w:ascii="仿宋_GB2312" w:hAnsi="仿宋_GB2312" w:eastAsia="仿宋_GB2312" w:cs="仿宋_GB2312"/>
          <w:b/>
          <w:sz w:val="32"/>
          <w:szCs w:val="30"/>
        </w:rPr>
        <w:t>跨界融合，协同推进</w:t>
      </w:r>
      <w:r>
        <w:rPr>
          <w:rFonts w:hint="eastAsia" w:ascii="仿宋_GB2312" w:hAnsi="仿宋_GB2312" w:eastAsia="仿宋_GB2312" w:cs="仿宋_GB2312"/>
          <w:sz w:val="32"/>
          <w:szCs w:val="30"/>
        </w:rPr>
        <w:t>。充分利用现有基础和成果，整合汽车、交通、通信、公安、电子等行业现有资源，通力合作，共同构建车联网产业标准体系。</w:t>
      </w:r>
    </w:p>
    <w:p>
      <w:pPr>
        <w:spacing w:before="156" w:beforeLines="50"/>
        <w:ind w:left="142" w:firstLine="569" w:firstLineChars="177"/>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共性先立，急用先行。</w:t>
      </w:r>
      <w:r>
        <w:rPr>
          <w:rFonts w:hint="eastAsia" w:ascii="仿宋_GB2312" w:hAnsi="仿宋_GB2312" w:eastAsia="仿宋_GB2312" w:cs="仿宋_GB2312"/>
          <w:color w:val="070707"/>
          <w:kern w:val="0"/>
          <w:sz w:val="32"/>
          <w:szCs w:val="32"/>
        </w:rPr>
        <w:t>科学确定车联网产业标准体系建设的重点领域，以智能控制和信息通信为着力点，</w:t>
      </w:r>
      <w:r>
        <w:rPr>
          <w:rFonts w:hint="eastAsia" w:ascii="仿宋_GB2312" w:hAnsi="仿宋_GB2312" w:eastAsia="仿宋_GB2312" w:cs="仿宋_GB2312"/>
          <w:sz w:val="32"/>
          <w:szCs w:val="32"/>
        </w:rPr>
        <w:t>充分考虑标准的适用性，加快共性基础、关键技术、产业急需标准的研究制定。实现</w:t>
      </w:r>
      <w:r>
        <w:rPr>
          <w:rFonts w:hint="eastAsia" w:ascii="仿宋_GB2312" w:hAnsi="仿宋_GB2312" w:eastAsia="仿宋_GB2312" w:cs="仿宋_GB2312"/>
          <w:color w:val="070707"/>
          <w:kern w:val="0"/>
          <w:sz w:val="32"/>
          <w:szCs w:val="32"/>
        </w:rPr>
        <w:t>标准与车联网产业发展的结合、行业标准与国家标准的结合、国内标准与国际标准的结合</w:t>
      </w:r>
      <w:r>
        <w:rPr>
          <w:rFonts w:hint="eastAsia" w:ascii="仿宋_GB2312" w:hAnsi="仿宋_GB2312" w:eastAsia="仿宋_GB2312" w:cs="仿宋_GB2312"/>
          <w:sz w:val="32"/>
          <w:szCs w:val="32"/>
        </w:rPr>
        <w:t>。</w:t>
      </w:r>
    </w:p>
    <w:p>
      <w:pPr>
        <w:spacing w:after="156" w:afterLines="50"/>
        <w:ind w:firstLine="6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鼓励创新、注重实施。</w:t>
      </w:r>
      <w:r>
        <w:rPr>
          <w:rFonts w:hint="eastAsia" w:ascii="仿宋_GB2312" w:hAnsi="仿宋_GB2312" w:eastAsia="仿宋_GB2312" w:cs="仿宋_GB2312"/>
          <w:sz w:val="32"/>
          <w:szCs w:val="32"/>
        </w:rPr>
        <w:t>加快具有中国特色的自主创新车联网产业标准制定，</w:t>
      </w:r>
      <w:r>
        <w:rPr>
          <w:rFonts w:hint="eastAsia" w:ascii="仿宋_GB2312" w:hAnsi="仿宋_GB2312" w:eastAsia="仿宋_GB2312" w:cs="仿宋_GB2312"/>
          <w:color w:val="070707"/>
          <w:kern w:val="0"/>
          <w:sz w:val="32"/>
          <w:szCs w:val="32"/>
        </w:rPr>
        <w:t>充分发挥标准在技术创新路径选择、创新成果转化、产业整体技术水平提升等方面的规范和引领作用，</w:t>
      </w:r>
      <w:r>
        <w:rPr>
          <w:rFonts w:hint="eastAsia" w:ascii="仿宋_GB2312" w:hAnsi="仿宋_GB2312" w:eastAsia="仿宋_GB2312" w:cs="仿宋_GB2312"/>
          <w:sz w:val="32"/>
          <w:szCs w:val="32"/>
        </w:rPr>
        <w:t>实现车联网产业健康有序发展。</w:t>
      </w:r>
    </w:p>
    <w:p>
      <w:pPr>
        <w:spacing w:after="156" w:afterLines="50"/>
        <w:ind w:firstLine="600"/>
        <w:jc w:val="both"/>
        <w:rPr>
          <w:rFonts w:ascii="仿宋_GB2312" w:hAnsi="仿宋_GB2312" w:eastAsia="仿宋_GB2312" w:cs="仿宋_GB2312"/>
          <w:color w:val="FF0000"/>
          <w:sz w:val="32"/>
          <w:szCs w:val="30"/>
        </w:rPr>
      </w:pPr>
      <w:r>
        <w:rPr>
          <w:rFonts w:hint="eastAsia" w:ascii="仿宋" w:hAnsi="仿宋" w:eastAsia="仿宋"/>
          <w:b/>
          <w:sz w:val="32"/>
          <w:szCs w:val="32"/>
        </w:rPr>
        <w:t>兼容开放</w:t>
      </w:r>
      <w:r>
        <w:rPr>
          <w:rFonts w:ascii="仿宋" w:hAnsi="仿宋" w:eastAsia="仿宋"/>
          <w:b/>
          <w:sz w:val="32"/>
          <w:szCs w:val="32"/>
        </w:rPr>
        <w:t>、</w:t>
      </w:r>
      <w:r>
        <w:rPr>
          <w:rFonts w:hint="eastAsia" w:ascii="仿宋" w:hAnsi="仿宋" w:eastAsia="仿宋"/>
          <w:b/>
          <w:sz w:val="32"/>
          <w:szCs w:val="32"/>
        </w:rPr>
        <w:t>动态</w:t>
      </w:r>
      <w:r>
        <w:rPr>
          <w:rFonts w:ascii="仿宋" w:hAnsi="仿宋" w:eastAsia="仿宋"/>
          <w:b/>
          <w:sz w:val="32"/>
          <w:szCs w:val="32"/>
        </w:rPr>
        <w:t>更新</w:t>
      </w:r>
      <w:r>
        <w:rPr>
          <w:rFonts w:hint="eastAsia" w:ascii="仿宋" w:hAnsi="仿宋" w:eastAsia="仿宋"/>
          <w:b/>
          <w:sz w:val="32"/>
          <w:szCs w:val="32"/>
        </w:rPr>
        <w:t>。</w:t>
      </w:r>
      <w:r>
        <w:rPr>
          <w:rFonts w:hint="eastAsia" w:ascii="仿宋_GB2312" w:hAnsi="仿宋_GB2312" w:eastAsia="仿宋_GB2312" w:cs="仿宋_GB2312"/>
          <w:color w:val="070707"/>
          <w:kern w:val="0"/>
          <w:sz w:val="32"/>
          <w:szCs w:val="32"/>
        </w:rPr>
        <w:t>车联网产业标准体系的构建应当是一个不断完善和调整的动态过程，形成一种持续更新和协商讨论的工作机制，以开放兼容的视野给</w:t>
      </w:r>
      <w:r>
        <w:rPr>
          <w:rFonts w:hint="eastAsia" w:ascii="仿宋" w:hAnsi="仿宋" w:eastAsia="仿宋"/>
          <w:sz w:val="32"/>
          <w:szCs w:val="32"/>
        </w:rPr>
        <w:t>各种技术路径选择预留空间。</w:t>
      </w:r>
    </w:p>
    <w:bookmarkEnd w:id="56"/>
    <w:bookmarkEnd w:id="57"/>
    <w:bookmarkEnd w:id="58"/>
    <w:bookmarkEnd w:id="59"/>
    <w:bookmarkEnd w:id="60"/>
    <w:bookmarkEnd w:id="61"/>
    <w:bookmarkEnd w:id="62"/>
    <w:bookmarkEnd w:id="63"/>
    <w:bookmarkEnd w:id="64"/>
    <w:p>
      <w:pPr>
        <w:pStyle w:val="2"/>
        <w:spacing w:before="0" w:after="0" w:line="240" w:lineRule="auto"/>
        <w:rPr>
          <w:rFonts w:ascii="仿宋_GB2312" w:hAnsi="仿宋_GB2312" w:eastAsia="仿宋_GB2312" w:cs="仿宋_GB2312"/>
          <w:sz w:val="32"/>
          <w:szCs w:val="32"/>
        </w:rPr>
      </w:pPr>
      <w:bookmarkStart w:id="65" w:name="_Toc436730908"/>
      <w:bookmarkEnd w:id="65"/>
      <w:bookmarkStart w:id="66" w:name="_Toc436335542"/>
      <w:bookmarkEnd w:id="66"/>
      <w:bookmarkStart w:id="67" w:name="_Toc436730904"/>
      <w:bookmarkEnd w:id="67"/>
      <w:bookmarkStart w:id="68" w:name="_Toc436730905"/>
      <w:bookmarkEnd w:id="68"/>
      <w:bookmarkStart w:id="69" w:name="_Toc436730906"/>
      <w:bookmarkEnd w:id="69"/>
      <w:bookmarkStart w:id="70" w:name="_Toc436730907"/>
      <w:bookmarkEnd w:id="70"/>
      <w:r>
        <w:rPr>
          <w:rFonts w:hint="eastAsia" w:ascii="仿宋_GB2312" w:hAnsi="仿宋_GB2312" w:eastAsia="仿宋_GB2312" w:cs="仿宋_GB2312"/>
          <w:sz w:val="32"/>
          <w:szCs w:val="32"/>
        </w:rPr>
        <w:t xml:space="preserve">    </w:t>
      </w:r>
      <w:bookmarkStart w:id="71" w:name="_Toc490492193"/>
      <w:r>
        <w:rPr>
          <w:rFonts w:hint="eastAsia" w:ascii="仿宋_GB2312" w:hAnsi="仿宋_GB2312" w:eastAsia="仿宋_GB2312" w:cs="仿宋_GB2312"/>
          <w:sz w:val="32"/>
          <w:szCs w:val="32"/>
        </w:rPr>
        <w:t>（三）建设目标</w:t>
      </w:r>
      <w:bookmarkEnd w:id="71"/>
    </w:p>
    <w:p>
      <w:pPr>
        <w:widowControl w:val="0"/>
        <w:spacing w:before="156" w:beforeLines="50"/>
        <w:ind w:firstLine="640" w:firstLineChars="200"/>
        <w:jc w:val="both"/>
        <w:rPr>
          <w:rFonts w:ascii="仿宋_GB2312" w:hAnsi="仿宋_GB2312" w:eastAsia="仿宋_GB2312" w:cs="仿宋_GB2312"/>
          <w:color w:val="000000"/>
          <w:sz w:val="32"/>
          <w:szCs w:val="32"/>
        </w:rPr>
      </w:pPr>
      <w:bookmarkStart w:id="72" w:name="_Toc421083405"/>
      <w:bookmarkEnd w:id="72"/>
      <w:bookmarkStart w:id="73" w:name="_Toc421044835"/>
      <w:bookmarkEnd w:id="73"/>
      <w:bookmarkStart w:id="74" w:name="_Toc417901115"/>
      <w:bookmarkStart w:id="75" w:name="_Toc422503759"/>
      <w:bookmarkStart w:id="76" w:name="_Toc422515392"/>
      <w:r>
        <w:rPr>
          <w:rFonts w:hint="eastAsia" w:ascii="仿宋_GB2312" w:hAnsi="仿宋_GB2312" w:eastAsia="仿宋_GB2312" w:cs="仿宋_GB2312"/>
          <w:color w:val="000000"/>
          <w:sz w:val="32"/>
          <w:szCs w:val="32"/>
        </w:rPr>
        <w:t>针对车联网产业“十三五”发展需要，加快共性基础标准制定，加紧研制自动安全及辅助驾驶相关标准、车载电子产品关键技术标准、无线通信关键技术标准、先进驾驶辅助系统（ADAS）标准、面向车联网产业应用的5G eV2X关键技术标准制定，满足产业发展需求。到2020年，基本建成国家车联网产业标准体系。</w:t>
      </w:r>
    </w:p>
    <w:bookmarkEnd w:id="74"/>
    <w:bookmarkEnd w:id="75"/>
    <w:bookmarkEnd w:id="76"/>
    <w:p>
      <w:pPr>
        <w:pStyle w:val="2"/>
        <w:spacing w:before="156" w:beforeLines="50" w:after="156" w:afterLines="50" w:line="240" w:lineRule="auto"/>
        <w:rPr>
          <w:rFonts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    </w:t>
      </w:r>
      <w:bookmarkStart w:id="77" w:name="_Toc490492194"/>
      <w:r>
        <w:rPr>
          <w:rFonts w:hint="eastAsia" w:ascii="黑体" w:hAnsi="黑体" w:eastAsia="黑体" w:cs="黑体"/>
          <w:b w:val="0"/>
          <w:bCs w:val="0"/>
          <w:kern w:val="2"/>
          <w:sz w:val="36"/>
          <w:szCs w:val="36"/>
        </w:rPr>
        <w:t>二、车联网产业标准体系结构</w:t>
      </w:r>
      <w:bookmarkEnd w:id="77"/>
      <w:bookmarkStart w:id="78" w:name="_Toc436730918"/>
      <w:bookmarkEnd w:id="78"/>
      <w:bookmarkStart w:id="79" w:name="_Toc436730923"/>
      <w:bookmarkEnd w:id="79"/>
      <w:bookmarkStart w:id="80" w:name="_Toc436730919"/>
      <w:bookmarkEnd w:id="80"/>
      <w:bookmarkStart w:id="81" w:name="_Toc436730936"/>
      <w:bookmarkEnd w:id="81"/>
      <w:bookmarkStart w:id="82" w:name="_Toc436730920"/>
      <w:bookmarkEnd w:id="82"/>
      <w:bookmarkStart w:id="83" w:name="_Toc436730935"/>
      <w:bookmarkEnd w:id="83"/>
      <w:bookmarkStart w:id="84" w:name="_Toc436730921"/>
      <w:bookmarkEnd w:id="84"/>
      <w:bookmarkStart w:id="85" w:name="_Toc436730924"/>
      <w:bookmarkEnd w:id="85"/>
      <w:bookmarkStart w:id="86" w:name="_Toc436335549"/>
      <w:bookmarkEnd w:id="86"/>
      <w:bookmarkStart w:id="87" w:name="_Toc436730932"/>
      <w:bookmarkEnd w:id="87"/>
      <w:bookmarkStart w:id="88" w:name="_Toc436730933"/>
      <w:bookmarkEnd w:id="88"/>
      <w:bookmarkStart w:id="89" w:name="_Toc436730922"/>
      <w:bookmarkEnd w:id="89"/>
      <w:bookmarkStart w:id="90" w:name="_Toc436730931"/>
      <w:bookmarkEnd w:id="90"/>
      <w:bookmarkStart w:id="91" w:name="_Toc436730928"/>
      <w:bookmarkEnd w:id="91"/>
      <w:bookmarkStart w:id="92" w:name="_Toc436730925"/>
      <w:bookmarkEnd w:id="92"/>
      <w:bookmarkStart w:id="93" w:name="_Toc436730929"/>
      <w:bookmarkEnd w:id="93"/>
      <w:bookmarkStart w:id="94" w:name="_Toc436730934"/>
      <w:bookmarkEnd w:id="94"/>
      <w:bookmarkStart w:id="95" w:name="_Toc436730930"/>
      <w:bookmarkEnd w:id="95"/>
      <w:bookmarkStart w:id="96" w:name="_Toc436730927"/>
      <w:bookmarkEnd w:id="96"/>
      <w:bookmarkStart w:id="97" w:name="_Toc436730926"/>
      <w:bookmarkEnd w:id="97"/>
      <w:bookmarkStart w:id="98" w:name="_Toc436730915"/>
      <w:bookmarkEnd w:id="98"/>
      <w:bookmarkStart w:id="99" w:name="_Toc436730916"/>
      <w:bookmarkEnd w:id="99"/>
      <w:bookmarkStart w:id="100" w:name="_Toc436730917"/>
      <w:bookmarkEnd w:id="100"/>
      <w:bookmarkStart w:id="101" w:name="_Toc487132056"/>
      <w:bookmarkStart w:id="102" w:name="_Toc423949890"/>
      <w:bookmarkStart w:id="103" w:name="_Toc424054739"/>
      <w:bookmarkStart w:id="104" w:name="_Toc422814428"/>
      <w:bookmarkStart w:id="105" w:name="_Toc424895864"/>
      <w:bookmarkStart w:id="106" w:name="_Toc423556886"/>
      <w:bookmarkStart w:id="107" w:name="_Toc423594874"/>
      <w:bookmarkStart w:id="108" w:name="_Toc422558684"/>
      <w:bookmarkStart w:id="109" w:name="_Toc423593803"/>
      <w:bookmarkStart w:id="110" w:name="_Toc422503760"/>
      <w:bookmarkStart w:id="111" w:name="_Toc424989627"/>
      <w:bookmarkStart w:id="112" w:name="_Toc432240304"/>
    </w:p>
    <w:p>
      <w:pPr>
        <w:pStyle w:val="2"/>
        <w:spacing w:before="0" w:after="0" w:line="240" w:lineRule="auto"/>
        <w:ind w:firstLine="643" w:firstLineChars="200"/>
        <w:rPr>
          <w:rFonts w:ascii="仿宋_GB2312" w:hAnsi="仿宋_GB2312" w:eastAsia="仿宋_GB2312" w:cs="仿宋_GB2312"/>
          <w:sz w:val="32"/>
          <w:szCs w:val="32"/>
        </w:rPr>
      </w:pPr>
      <w:bookmarkStart w:id="113" w:name="_Toc490492195"/>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车联网产业概念</w:t>
      </w:r>
      <w:bookmarkEnd w:id="113"/>
    </w:p>
    <w:p>
      <w:pPr>
        <w:ind w:firstLine="640" w:firstLineChars="200"/>
      </w:pPr>
      <w:r>
        <w:rPr>
          <w:rFonts w:hint="eastAsia" w:ascii="仿宋" w:hAnsi="仿宋" w:eastAsia="仿宋"/>
          <w:sz w:val="32"/>
          <w:szCs w:val="30"/>
        </w:rPr>
        <w:t>车联网产业是依托信息通信技术，通过车内、车与车、车与路、车与人、车与服务平台的全方位连接和数据交互，发展新一代汽车，提供综合信息服务，形成汽车、电子、信息通信、道路交通运输等行业深度融合的新型产业形态。发展车联网产业，有利于推动智能交通，实现自动驾驶，促进</w:t>
      </w:r>
      <w:r>
        <w:rPr>
          <w:rFonts w:ascii="仿宋" w:hAnsi="仿宋" w:eastAsia="仿宋"/>
          <w:sz w:val="32"/>
          <w:szCs w:val="30"/>
        </w:rPr>
        <w:t>信息消费，</w:t>
      </w:r>
      <w:r>
        <w:rPr>
          <w:rFonts w:hint="eastAsia" w:ascii="仿宋" w:hAnsi="仿宋" w:eastAsia="仿宋" w:cs="宋体"/>
          <w:bCs/>
          <w:kern w:val="0"/>
          <w:sz w:val="32"/>
          <w:szCs w:val="32"/>
        </w:rPr>
        <w:t>对我国</w:t>
      </w:r>
      <w:r>
        <w:rPr>
          <w:rFonts w:ascii="仿宋" w:hAnsi="仿宋" w:eastAsia="仿宋" w:cs="宋体"/>
          <w:bCs/>
          <w:kern w:val="0"/>
          <w:sz w:val="32"/>
          <w:szCs w:val="32"/>
        </w:rPr>
        <w:t>实施创新驱动</w:t>
      </w:r>
      <w:r>
        <w:rPr>
          <w:rFonts w:hint="eastAsia" w:ascii="仿宋" w:hAnsi="仿宋" w:eastAsia="仿宋" w:cs="宋体"/>
          <w:bCs/>
          <w:kern w:val="0"/>
          <w:sz w:val="32"/>
          <w:szCs w:val="32"/>
        </w:rPr>
        <w:t>发展、推进</w:t>
      </w:r>
      <w:r>
        <w:rPr>
          <w:rFonts w:ascii="仿宋" w:hAnsi="仿宋" w:eastAsia="仿宋" w:cs="宋体"/>
          <w:bCs/>
          <w:kern w:val="0"/>
          <w:sz w:val="32"/>
          <w:szCs w:val="32"/>
        </w:rPr>
        <w:t>供给侧</w:t>
      </w:r>
      <w:r>
        <w:rPr>
          <w:rFonts w:hint="eastAsia" w:ascii="仿宋" w:hAnsi="仿宋" w:eastAsia="仿宋" w:cs="宋体"/>
          <w:bCs/>
          <w:kern w:val="0"/>
          <w:sz w:val="32"/>
          <w:szCs w:val="32"/>
        </w:rPr>
        <w:t>结构</w:t>
      </w:r>
      <w:r>
        <w:rPr>
          <w:rFonts w:ascii="仿宋" w:hAnsi="仿宋" w:eastAsia="仿宋" w:cs="宋体"/>
          <w:bCs/>
          <w:kern w:val="0"/>
          <w:sz w:val="32"/>
          <w:szCs w:val="32"/>
        </w:rPr>
        <w:t>性改革</w:t>
      </w:r>
      <w:r>
        <w:rPr>
          <w:rFonts w:hint="eastAsia" w:ascii="仿宋" w:hAnsi="仿宋" w:eastAsia="仿宋" w:cs="宋体"/>
          <w:bCs/>
          <w:kern w:val="0"/>
          <w:sz w:val="32"/>
          <w:szCs w:val="32"/>
        </w:rPr>
        <w:t>、</w:t>
      </w:r>
      <w:r>
        <w:rPr>
          <w:rFonts w:ascii="仿宋" w:hAnsi="仿宋" w:eastAsia="仿宋" w:cs="宋体"/>
          <w:bCs/>
          <w:kern w:val="0"/>
          <w:sz w:val="32"/>
          <w:szCs w:val="32"/>
        </w:rPr>
        <w:t>建设制造强国和</w:t>
      </w:r>
      <w:r>
        <w:rPr>
          <w:rFonts w:hint="eastAsia" w:ascii="仿宋" w:hAnsi="仿宋" w:eastAsia="仿宋" w:cs="宋体"/>
          <w:bCs/>
          <w:kern w:val="0"/>
          <w:sz w:val="32"/>
          <w:szCs w:val="32"/>
        </w:rPr>
        <w:t>网络</w:t>
      </w:r>
      <w:r>
        <w:rPr>
          <w:rFonts w:ascii="仿宋" w:hAnsi="仿宋" w:eastAsia="仿宋" w:cs="宋体"/>
          <w:bCs/>
          <w:kern w:val="0"/>
          <w:sz w:val="32"/>
          <w:szCs w:val="32"/>
        </w:rPr>
        <w:t>强国</w:t>
      </w:r>
      <w:r>
        <w:rPr>
          <w:rFonts w:hint="eastAsia" w:ascii="仿宋" w:hAnsi="仿宋" w:eastAsia="仿宋" w:cs="宋体"/>
          <w:bCs/>
          <w:kern w:val="0"/>
          <w:sz w:val="32"/>
          <w:szCs w:val="32"/>
        </w:rPr>
        <w:t>具</w:t>
      </w:r>
      <w:r>
        <w:rPr>
          <w:rFonts w:ascii="仿宋" w:hAnsi="仿宋" w:eastAsia="仿宋" w:cs="宋体"/>
          <w:bCs/>
          <w:kern w:val="0"/>
          <w:sz w:val="32"/>
          <w:szCs w:val="32"/>
        </w:rPr>
        <w:t>有</w:t>
      </w:r>
      <w:r>
        <w:rPr>
          <w:rFonts w:hint="eastAsia" w:ascii="仿宋" w:hAnsi="仿宋" w:eastAsia="仿宋" w:cs="宋体"/>
          <w:bCs/>
          <w:kern w:val="0"/>
          <w:sz w:val="32"/>
          <w:szCs w:val="32"/>
        </w:rPr>
        <w:t>重大意义。</w:t>
      </w:r>
    </w:p>
    <w:p>
      <w:pPr>
        <w:pStyle w:val="2"/>
        <w:spacing w:before="0" w:after="0" w:line="240" w:lineRule="auto"/>
        <w:ind w:firstLine="643" w:firstLineChars="200"/>
        <w:rPr>
          <w:rFonts w:ascii="仿宋_GB2312" w:hAnsi="仿宋_GB2312" w:eastAsia="仿宋_GB2312" w:cs="仿宋_GB2312"/>
          <w:sz w:val="32"/>
          <w:szCs w:val="32"/>
        </w:rPr>
      </w:pPr>
      <w:bookmarkStart w:id="114" w:name="_Toc490492196"/>
      <w:r>
        <w:rPr>
          <w:rFonts w:hint="eastAsia" w:ascii="仿宋_GB2312" w:hAnsi="仿宋_GB2312" w:eastAsia="仿宋_GB2312" w:cs="仿宋_GB2312"/>
          <w:sz w:val="32"/>
          <w:szCs w:val="32"/>
        </w:rPr>
        <w:t>（二）车联网</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标准体系架构图</w:t>
      </w:r>
      <w:bookmarkEnd w:id="114"/>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 xml:space="preserve">1. </w:t>
      </w:r>
      <w:r>
        <w:rPr>
          <w:rFonts w:hint="eastAsia" w:ascii="仿宋_GB2312" w:hAnsi="仿宋_GB2312" w:eastAsia="仿宋_GB2312" w:cs="仿宋_GB2312"/>
          <w:b/>
          <w:sz w:val="32"/>
          <w:szCs w:val="32"/>
        </w:rPr>
        <w:t>建设结构图</w:t>
      </w:r>
      <w:bookmarkEnd w:id="101"/>
    </w:p>
    <w:p>
      <w:pPr>
        <w:jc w:val="center"/>
      </w:pPr>
      <w:r>
        <w:rPr>
          <w:rFonts w:ascii="Times New Roman" w:hAnsi="Times New Roman" w:eastAsia="宋体" w:cs="Times New Roman"/>
          <w:kern w:val="2"/>
          <w:sz w:val="21"/>
          <w:szCs w:val="21"/>
          <w:lang w:val="en-US" w:eastAsia="zh-CN" w:bidi="ar-SA"/>
        </w:rPr>
        <w:pict>
          <v:shape id="图片 10" o:spid="_x0000_s1026" type="#_x0000_t75" style="height:179.2pt;width:296.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before="156" w:beforeLines="50" w:after="156" w:afterLines="50"/>
        <w:ind w:firstLine="640" w:firstLineChars="200"/>
        <w:jc w:val="both"/>
        <w:rPr>
          <w:rFonts w:ascii="仿宋" w:hAnsi="仿宋" w:eastAsia="仿宋"/>
          <w:sz w:val="32"/>
          <w:szCs w:val="32"/>
        </w:rPr>
      </w:pPr>
      <w:r>
        <w:rPr>
          <w:rFonts w:hint="eastAsia" w:eastAsia="华文仿宋"/>
          <w:color w:val="000000"/>
          <w:kern w:val="0"/>
          <w:sz w:val="32"/>
          <w:szCs w:val="32"/>
        </w:rPr>
        <w:t>上图所示车联网产业标准体系建设图清晰地表明了国家积极引导和直接推动跨领域、跨行业、跨部门合作的战略意图。在国家法律政策和战略要求的大框架下，充分利用和整合各领域、各部门在车联网产业标准研究领域的基础和成果，调动各个行业通力合作，共同制定具有中国特色的车联网产业标准体系。</w:t>
      </w:r>
      <w:r>
        <w:rPr>
          <w:rFonts w:hint="eastAsia" w:ascii="仿宋" w:hAnsi="仿宋" w:eastAsia="仿宋"/>
          <w:sz w:val="32"/>
          <w:szCs w:val="32"/>
        </w:rPr>
        <w:t>《国家车联网产业标准体系</w:t>
      </w:r>
      <w:r>
        <w:rPr>
          <w:rFonts w:ascii="仿宋" w:hAnsi="仿宋" w:eastAsia="仿宋"/>
          <w:sz w:val="32"/>
          <w:szCs w:val="32"/>
        </w:rPr>
        <w:t>建设</w:t>
      </w:r>
      <w:r>
        <w:rPr>
          <w:rFonts w:hint="eastAsia" w:ascii="仿宋" w:hAnsi="仿宋" w:eastAsia="仿宋"/>
          <w:sz w:val="32"/>
          <w:szCs w:val="32"/>
        </w:rPr>
        <w:t>指南》充分发挥标准在车联网产业生态环境构建中的顶层设计</w:t>
      </w:r>
      <w:r>
        <w:rPr>
          <w:rFonts w:ascii="仿宋" w:hAnsi="仿宋" w:eastAsia="仿宋"/>
          <w:sz w:val="32"/>
          <w:szCs w:val="32"/>
        </w:rPr>
        <w:t>和</w:t>
      </w:r>
      <w:r>
        <w:rPr>
          <w:rFonts w:hint="eastAsia" w:ascii="仿宋" w:hAnsi="仿宋" w:eastAsia="仿宋"/>
          <w:sz w:val="32"/>
          <w:szCs w:val="32"/>
        </w:rPr>
        <w:t>基础引领作用，按照</w:t>
      </w:r>
      <w:r>
        <w:rPr>
          <w:rFonts w:ascii="仿宋" w:hAnsi="仿宋" w:eastAsia="仿宋"/>
          <w:sz w:val="32"/>
          <w:szCs w:val="32"/>
        </w:rPr>
        <w:t>不同行业属性划分</w:t>
      </w:r>
      <w:r>
        <w:rPr>
          <w:rFonts w:hint="eastAsia" w:ascii="仿宋" w:hAnsi="仿宋" w:eastAsia="仿宋"/>
          <w:sz w:val="32"/>
          <w:szCs w:val="32"/>
        </w:rPr>
        <w:t>为智能网联汽车标准体系、信息通信标准体系、电子产品与服务标准体系等</w:t>
      </w:r>
      <w:r>
        <w:rPr>
          <w:rFonts w:ascii="仿宋" w:hAnsi="仿宋" w:eastAsia="仿宋"/>
          <w:sz w:val="32"/>
          <w:szCs w:val="32"/>
        </w:rPr>
        <w:t>分册</w:t>
      </w:r>
      <w:r>
        <w:rPr>
          <w:rFonts w:hint="eastAsia" w:ascii="仿宋" w:hAnsi="仿宋" w:eastAsia="仿宋"/>
          <w:sz w:val="32"/>
          <w:szCs w:val="32"/>
        </w:rPr>
        <w:t>，为打造自主可控、具有核心技术、开放协同的车联网产业提供支撑。</w:t>
      </w:r>
      <w:bookmarkStart w:id="115" w:name="_Toc487132058"/>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技术结构图</w:t>
      </w:r>
      <w:bookmarkEnd w:id="115"/>
    </w:p>
    <w:p>
      <w:pPr>
        <w:pStyle w:val="104"/>
        <w:ind w:firstLine="0" w:firstLineChars="0"/>
        <w:jc w:val="center"/>
      </w:pPr>
      <w:r>
        <w:t xml:space="preserve"> </w:t>
      </w:r>
      <w:r>
        <w:rPr>
          <w:rFonts w:ascii="Times New Roman" w:hAnsi="Times New Roman" w:eastAsia="宋体" w:cs="Times New Roman"/>
          <w:kern w:val="2"/>
          <w:sz w:val="21"/>
          <w:szCs w:val="21"/>
          <w:lang w:val="en-US" w:eastAsia="zh-CN" w:bidi="ar-SA"/>
        </w:rPr>
        <w:object>
          <v:shape id="Picture 1" type="#_x0000_t75" style="height:202.05pt;width:414.8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1" DrawAspect="Content" ObjectID="_2" r:id="rId9"/>
        </w:object>
      </w:r>
    </w:p>
    <w:p>
      <w:pPr>
        <w:widowControl w:val="0"/>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车联网产业中车（智能网联汽车）、网（信息通信）、路（智能交通相关）、牌（车辆智能管理）和电子产品与服务五大重点领域的标准可分为感知层（端）、网络层（管）和应用层（云）三个层次。</w:t>
      </w:r>
    </w:p>
    <w:p>
      <w:pPr>
        <w:widowControl w:val="0"/>
        <w:ind w:firstLine="640" w:firstLineChars="200"/>
        <w:jc w:val="both"/>
        <w:rPr>
          <w:rFonts w:ascii="仿宋" w:hAnsi="仿宋" w:eastAsia="仿宋"/>
          <w:sz w:val="32"/>
          <w:szCs w:val="32"/>
        </w:rPr>
      </w:pPr>
      <w:r>
        <w:rPr>
          <w:rFonts w:hint="eastAsia" w:ascii="仿宋" w:hAnsi="仿宋" w:eastAsia="仿宋"/>
          <w:color w:val="000000"/>
          <w:sz w:val="32"/>
          <w:szCs w:val="32"/>
        </w:rPr>
        <w:t>感知层包含具有</w:t>
      </w:r>
      <w:r>
        <w:rPr>
          <w:rFonts w:ascii="仿宋" w:hAnsi="仿宋" w:eastAsia="仿宋"/>
          <w:color w:val="000000"/>
          <w:sz w:val="32"/>
          <w:szCs w:val="32"/>
        </w:rPr>
        <w:t>感知能力</w:t>
      </w:r>
      <w:r>
        <w:rPr>
          <w:rFonts w:hint="eastAsia" w:ascii="仿宋" w:hAnsi="仿宋" w:eastAsia="仿宋"/>
          <w:color w:val="000000"/>
          <w:sz w:val="32"/>
          <w:szCs w:val="32"/>
        </w:rPr>
        <w:t>的智能网联</w:t>
      </w:r>
      <w:r>
        <w:rPr>
          <w:rFonts w:ascii="仿宋" w:hAnsi="仿宋" w:eastAsia="仿宋"/>
          <w:color w:val="000000"/>
          <w:sz w:val="32"/>
          <w:szCs w:val="32"/>
        </w:rPr>
        <w:t>汽车和各种</w:t>
      </w:r>
      <w:r>
        <w:rPr>
          <w:rFonts w:hint="eastAsia" w:ascii="仿宋" w:hAnsi="仿宋" w:eastAsia="仿宋"/>
          <w:color w:val="000000"/>
          <w:sz w:val="32"/>
          <w:szCs w:val="32"/>
        </w:rPr>
        <w:t>基础</w:t>
      </w:r>
      <w:r>
        <w:rPr>
          <w:rFonts w:ascii="仿宋" w:hAnsi="仿宋" w:eastAsia="仿宋"/>
          <w:color w:val="000000"/>
          <w:sz w:val="32"/>
          <w:szCs w:val="32"/>
        </w:rPr>
        <w:t>设施</w:t>
      </w:r>
      <w:r>
        <w:rPr>
          <w:rFonts w:hint="eastAsia" w:ascii="仿宋" w:hAnsi="仿宋" w:eastAsia="仿宋"/>
          <w:color w:val="000000"/>
          <w:sz w:val="32"/>
          <w:szCs w:val="32"/>
        </w:rPr>
        <w:t>。网络层解决车与车、车与路、车与设施、车与人等的互联互通。应用层是综合信息平台，</w:t>
      </w:r>
      <w:r>
        <w:rPr>
          <w:rFonts w:hint="eastAsia" w:ascii="仿宋" w:hAnsi="仿宋" w:eastAsia="仿宋"/>
          <w:sz w:val="32"/>
          <w:szCs w:val="32"/>
        </w:rPr>
        <w:t>主要是面向各种车联网产业的应用，需要构筑数据平台、运营平台和支撑平台。</w:t>
      </w:r>
    </w:p>
    <w:p>
      <w:pPr>
        <w:widowControl w:val="0"/>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车联网产业标准体系技术结构图是从技术角度对车联网产业中涉及</w:t>
      </w:r>
      <w:r>
        <w:rPr>
          <w:rFonts w:ascii="仿宋" w:hAnsi="仿宋" w:eastAsia="仿宋"/>
          <w:color w:val="000000"/>
          <w:sz w:val="32"/>
          <w:szCs w:val="32"/>
        </w:rPr>
        <w:t>的关键</w:t>
      </w:r>
      <w:r>
        <w:rPr>
          <w:rFonts w:hint="eastAsia" w:ascii="仿宋" w:hAnsi="仿宋" w:eastAsia="仿宋"/>
          <w:color w:val="000000"/>
          <w:sz w:val="32"/>
          <w:szCs w:val="32"/>
        </w:rPr>
        <w:t>标准</w:t>
      </w:r>
      <w:r>
        <w:rPr>
          <w:rFonts w:ascii="仿宋" w:hAnsi="仿宋" w:eastAsia="仿宋"/>
          <w:color w:val="000000"/>
          <w:sz w:val="32"/>
          <w:szCs w:val="32"/>
        </w:rPr>
        <w:t>进行</w:t>
      </w:r>
      <w:r>
        <w:rPr>
          <w:rFonts w:hint="eastAsia" w:ascii="仿宋" w:hAnsi="仿宋" w:eastAsia="仿宋"/>
          <w:color w:val="000000"/>
          <w:sz w:val="32"/>
          <w:szCs w:val="32"/>
        </w:rPr>
        <w:t>全面</w:t>
      </w:r>
      <w:r>
        <w:rPr>
          <w:rFonts w:ascii="仿宋" w:hAnsi="仿宋" w:eastAsia="仿宋"/>
          <w:color w:val="000000"/>
          <w:sz w:val="32"/>
          <w:szCs w:val="32"/>
        </w:rPr>
        <w:t>梳理</w:t>
      </w:r>
      <w:r>
        <w:rPr>
          <w:rFonts w:hint="eastAsia" w:ascii="仿宋" w:hAnsi="仿宋" w:eastAsia="仿宋"/>
          <w:color w:val="000000"/>
          <w:sz w:val="32"/>
          <w:szCs w:val="32"/>
        </w:rPr>
        <w:t>，再</w:t>
      </w:r>
      <w:r>
        <w:rPr>
          <w:rFonts w:ascii="仿宋" w:hAnsi="仿宋" w:eastAsia="仿宋"/>
          <w:color w:val="000000"/>
          <w:sz w:val="32"/>
          <w:szCs w:val="32"/>
        </w:rPr>
        <w:t>按照五大</w:t>
      </w:r>
      <w:r>
        <w:rPr>
          <w:rFonts w:hint="eastAsia" w:ascii="仿宋" w:hAnsi="仿宋" w:eastAsia="仿宋"/>
          <w:color w:val="000000"/>
          <w:sz w:val="32"/>
          <w:szCs w:val="32"/>
        </w:rPr>
        <w:t>行业</w:t>
      </w:r>
      <w:r>
        <w:rPr>
          <w:rFonts w:ascii="仿宋" w:hAnsi="仿宋" w:eastAsia="仿宋"/>
          <w:color w:val="000000"/>
          <w:sz w:val="32"/>
          <w:szCs w:val="32"/>
        </w:rPr>
        <w:t>领域进行</w:t>
      </w:r>
      <w:r>
        <w:rPr>
          <w:rFonts w:hint="eastAsia" w:ascii="仿宋" w:hAnsi="仿宋" w:eastAsia="仿宋"/>
          <w:color w:val="000000"/>
          <w:sz w:val="32"/>
          <w:szCs w:val="32"/>
        </w:rPr>
        <w:t>重新</w:t>
      </w:r>
      <w:r>
        <w:rPr>
          <w:rFonts w:ascii="仿宋" w:hAnsi="仿宋" w:eastAsia="仿宋"/>
          <w:color w:val="000000"/>
          <w:sz w:val="32"/>
          <w:szCs w:val="32"/>
        </w:rPr>
        <w:t>划分，</w:t>
      </w:r>
      <w:r>
        <w:rPr>
          <w:rFonts w:hint="eastAsia" w:ascii="仿宋" w:hAnsi="仿宋" w:eastAsia="仿宋"/>
          <w:color w:val="000000"/>
          <w:sz w:val="32"/>
          <w:szCs w:val="32"/>
        </w:rPr>
        <w:t>明确各项标准在技术演进和产业推进中的地位和作用，确保车联网产业标准体系能够在各个部门的共同推动下，成功落地实施，发挥作用，更好地发挥标准体系的顶层设计和指导作用。</w:t>
      </w:r>
    </w:p>
    <w:bookmarkEnd w:id="102"/>
    <w:bookmarkEnd w:id="103"/>
    <w:bookmarkEnd w:id="104"/>
    <w:bookmarkEnd w:id="105"/>
    <w:bookmarkEnd w:id="106"/>
    <w:bookmarkEnd w:id="107"/>
    <w:bookmarkEnd w:id="108"/>
    <w:bookmarkEnd w:id="109"/>
    <w:bookmarkEnd w:id="110"/>
    <w:bookmarkEnd w:id="111"/>
    <w:bookmarkEnd w:id="112"/>
    <w:p>
      <w:pPr>
        <w:pStyle w:val="2"/>
        <w:spacing w:before="468" w:beforeLines="150" w:after="0" w:line="240" w:lineRule="auto"/>
        <w:rPr>
          <w:rFonts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    </w:t>
      </w:r>
      <w:bookmarkStart w:id="116" w:name="_Toc490492197"/>
      <w:r>
        <w:rPr>
          <w:rFonts w:hint="eastAsia" w:ascii="黑体" w:hAnsi="黑体" w:eastAsia="黑体" w:cs="黑体"/>
          <w:b w:val="0"/>
          <w:bCs w:val="0"/>
          <w:kern w:val="2"/>
          <w:sz w:val="36"/>
          <w:szCs w:val="36"/>
        </w:rPr>
        <w:t>三、建设内容</w:t>
      </w:r>
      <w:bookmarkEnd w:id="116"/>
    </w:p>
    <w:p>
      <w:pPr>
        <w:widowControl w:val="0"/>
        <w:jc w:val="both"/>
        <w:rPr>
          <w:rFonts w:ascii="仿宋_GB2312" w:hAnsi="仿宋_GB2312" w:eastAsia="仿宋_GB2312" w:cs="仿宋_GB2312"/>
          <w:color w:val="000000"/>
          <w:sz w:val="32"/>
          <w:szCs w:val="32"/>
        </w:rPr>
      </w:pPr>
      <w:r>
        <w:rPr>
          <w:rFonts w:ascii="仿宋_GB2312" w:hAnsi="仿宋_GB2312" w:eastAsia="仿宋_GB2312" w:cs="仿宋_GB2312"/>
          <w:color w:val="000000"/>
          <w:kern w:val="2"/>
          <w:sz w:val="32"/>
          <w:szCs w:val="32"/>
          <w:lang w:val="en-US" w:eastAsia="zh-CN" w:bidi="ar-SA"/>
        </w:rPr>
        <w:pict>
          <v:shape id="图片 12" o:spid="_x0000_s1028" type="#_x0000_t75" style="height:132.5pt;width:414.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widowControl w:val="0"/>
        <w:ind w:firstLine="640" w:firstLineChars="200"/>
        <w:jc w:val="both"/>
        <w:rPr>
          <w:rFonts w:ascii="仿宋_GB2312" w:hAnsi="仿宋_GB2312" w:eastAsia="仿宋_GB2312" w:cs="仿宋_GB2312"/>
          <w:b/>
          <w:bCs/>
          <w:kern w:val="44"/>
          <w:sz w:val="32"/>
          <w:szCs w:val="32"/>
        </w:rPr>
      </w:pPr>
      <w:r>
        <w:rPr>
          <w:rFonts w:hint="eastAsia" w:ascii="仿宋_GB2312" w:hAnsi="仿宋_GB2312" w:eastAsia="仿宋_GB2312" w:cs="仿宋_GB2312"/>
          <w:color w:val="000000"/>
          <w:sz w:val="32"/>
          <w:szCs w:val="32"/>
        </w:rPr>
        <w:t>标准体系按照汽车、通信、电子、交通和公安五大行业领域进行划分。</w:t>
      </w:r>
      <w:bookmarkEnd w:id="2"/>
      <w:bookmarkEnd w:id="3"/>
      <w:bookmarkEnd w:id="4"/>
      <w:bookmarkStart w:id="117" w:name="_Toc422515397"/>
      <w:bookmarkStart w:id="118" w:name="_Toc417901117"/>
      <w:bookmarkStart w:id="119" w:name="_Toc422503770"/>
    </w:p>
    <w:p>
      <w:pPr>
        <w:pStyle w:val="2"/>
        <w:spacing w:before="0" w:after="0" w:line="240" w:lineRule="auto"/>
        <w:rPr>
          <w:rFonts w:ascii="仿宋_GB2312" w:hAnsi="仿宋_GB2312" w:eastAsia="仿宋_GB2312" w:cs="仿宋_GB2312"/>
          <w:sz w:val="32"/>
          <w:szCs w:val="32"/>
        </w:rPr>
      </w:pPr>
      <w:bookmarkStart w:id="120" w:name="_Toc490492198"/>
      <w:r>
        <w:rPr>
          <w:rFonts w:hint="eastAsia" w:ascii="仿宋_GB2312" w:hAnsi="仿宋_GB2312" w:eastAsia="仿宋_GB2312" w:cs="仿宋_GB2312"/>
          <w:sz w:val="32"/>
          <w:szCs w:val="32"/>
        </w:rPr>
        <w:t>（一）智能网联汽车标准体系</w:t>
      </w:r>
      <w:bookmarkEnd w:id="120"/>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 标准体系结构图</w:t>
      </w:r>
    </w:p>
    <w:p>
      <w:pPr>
        <w:pStyle w:val="171"/>
        <w:widowControl w:val="0"/>
        <w:ind w:firstLine="0" w:firstLineChars="0"/>
        <w:jc w:val="center"/>
        <w:rPr>
          <w:rFonts w:ascii="仿宋" w:hAnsi="仿宋" w:eastAsia="仿宋"/>
          <w:bCs/>
          <w:color w:val="000000"/>
          <w:sz w:val="32"/>
          <w:szCs w:val="32"/>
        </w:rPr>
      </w:pPr>
      <w:r>
        <w:rPr>
          <w:rFonts w:ascii="仿宋" w:hAnsi="仿宋" w:eastAsia="仿宋" w:cs="Times New Roman"/>
          <w:bCs/>
          <w:color w:val="000000"/>
          <w:kern w:val="2"/>
          <w:sz w:val="32"/>
          <w:szCs w:val="32"/>
          <w:lang w:val="en-US" w:eastAsia="zh-CN" w:bidi="ar-SA"/>
        </w:rPr>
        <w:pict>
          <v:shape id="图片 5" o:spid="_x0000_s1029" type="#_x0000_t75" style="height:484.35pt;width:374.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 w:hAnsi="仿宋" w:eastAsia="仿宋"/>
          <w:bCs/>
          <w:color w:val="000000"/>
          <w:sz w:val="32"/>
          <w:szCs w:val="32"/>
        </w:rPr>
        <w:t xml:space="preserve">    </w:t>
      </w:r>
      <w:r>
        <w:rPr>
          <w:rFonts w:hint="eastAsia" w:ascii="仿宋_GB2312" w:hAnsi="仿宋_GB2312" w:eastAsia="仿宋_GB2312" w:cs="仿宋_GB2312"/>
          <w:bCs/>
          <w:color w:val="000000"/>
          <w:sz w:val="32"/>
          <w:szCs w:val="32"/>
        </w:rPr>
        <w:t>2.标准分类说明</w:t>
      </w:r>
    </w:p>
    <w:p>
      <w:pPr>
        <w:pStyle w:val="171"/>
        <w:widowControl w:val="0"/>
        <w:ind w:left="420"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（1）基础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础类标准主要包括智能网联汽车术语和定义、分类和编码、标识和符号等三类基础标准。术语和定义标准用于统一智能网联汽车相关的基本概念。分类和编码标准用于帮助各方统一认识和理解智能网联标准化的对象、边界以及各部分的层级关系和内在联系。标识和符号标准用于对各类产品、技术和功能对象进行标识与解析。</w:t>
      </w:r>
    </w:p>
    <w:p>
      <w:pPr>
        <w:pStyle w:val="171"/>
        <w:widowControl w:val="0"/>
        <w:ind w:left="420"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（2）通用规范</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通用规范类标准从整车层面提出全局性的要求和规范，主要包括功能评价、人机界面、功能安全和信息安全等方面。</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功能评价标准主要从整车及系统层面提出智能化、网联化功能评价规范以及相应的测试评价应用场景。人机界面着重考虑驾驶模式切换等问题。功能安全标准侧重于规范智能网联汽车各主要功能节点及其下属系统在安全性保障能力方面的要求。信息安全标准主要针对车辆及车载系统通信、数据、软硬件安全，从整车、系统、关键节点以及车辆与外界接口等方面提出风险评估、安全防护与测试评价要求。</w:t>
      </w:r>
    </w:p>
    <w:p>
      <w:pPr>
        <w:pStyle w:val="171"/>
        <w:widowControl w:val="0"/>
        <w:ind w:left="420"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（3）产品与技术应用</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产品与技术应用类标准主要涵盖信息感知、决策预警、辅助控制、自动控制和信息交互等智能网联汽车核心技术和应用的功能、性能要求及试验方法。</w:t>
      </w:r>
    </w:p>
    <w:p>
      <w:pPr>
        <w:pStyle w:val="171"/>
        <w:widowControl w:val="0"/>
        <w:ind w:left="420"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（4）相关标准</w:t>
      </w:r>
    </w:p>
    <w:p>
      <w:pPr>
        <w:pStyle w:val="171"/>
        <w:widowControl w:val="0"/>
        <w:ind w:firstLineChars="0"/>
        <w:jc w:val="both"/>
        <w:rPr>
          <w:b/>
          <w:bCs/>
          <w:kern w:val="44"/>
        </w:rPr>
      </w:pPr>
      <w:r>
        <w:rPr>
          <w:rFonts w:hint="eastAsia" w:ascii="仿宋_GB2312" w:hAnsi="仿宋_GB2312" w:eastAsia="仿宋_GB2312" w:cs="仿宋_GB2312"/>
          <w:sz w:val="32"/>
          <w:szCs w:val="32"/>
        </w:rPr>
        <w:t>相关标准主要包括车辆信息通信的基础——通信协议，主要涵盖实现车与X（人、车、路、云端等）智能信息交互的中、短程通信、广域通信等方面的协议规范；在各种物理层和不同的应用层之间，还包含软、硬件界面接口的标准规范。</w:t>
      </w:r>
      <w:bookmarkEnd w:id="117"/>
      <w:bookmarkEnd w:id="118"/>
      <w:bookmarkEnd w:id="119"/>
      <w:bookmarkStart w:id="121" w:name="_Toc485375026"/>
    </w:p>
    <w:p>
      <w:pPr>
        <w:pStyle w:val="2"/>
        <w:spacing w:before="0" w:after="0" w:line="240" w:lineRule="auto"/>
        <w:rPr>
          <w:rFonts w:ascii="仿宋_GB2312" w:hAnsi="仿宋_GB2312" w:eastAsia="仿宋_GB2312" w:cs="仿宋_GB2312"/>
          <w:sz w:val="32"/>
          <w:szCs w:val="32"/>
        </w:rPr>
      </w:pPr>
      <w:r>
        <w:rPr>
          <w:rFonts w:hint="eastAsia" w:ascii="仿宋" w:hAnsi="仿宋" w:eastAsia="仿宋"/>
          <w:sz w:val="32"/>
          <w:szCs w:val="32"/>
        </w:rPr>
        <w:t xml:space="preserve">   </w:t>
      </w:r>
      <w:bookmarkStart w:id="122" w:name="_Toc490492199"/>
      <w:r>
        <w:rPr>
          <w:rFonts w:hint="eastAsia" w:ascii="仿宋_GB2312" w:hAnsi="仿宋_GB2312" w:eastAsia="仿宋_GB2312" w:cs="仿宋_GB2312"/>
          <w:sz w:val="32"/>
          <w:szCs w:val="32"/>
        </w:rPr>
        <w:t>（二）信息通信标准体系</w:t>
      </w:r>
      <w:bookmarkEnd w:id="121"/>
      <w:bookmarkEnd w:id="122"/>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1.标准体系结构图</w:t>
      </w:r>
    </w:p>
    <w:p>
      <w:pPr>
        <w:jc w:val="center"/>
        <w:rPr>
          <w:rFonts w:ascii="仿宋_GB2312" w:hAnsi="仿宋_GB2312" w:eastAsia="仿宋_GB2312" w:cs="仿宋_GB2312"/>
        </w:rPr>
      </w:pPr>
      <w:r>
        <w:rPr>
          <w:rFonts w:ascii="仿宋_GB2312" w:hAnsi="仿宋_GB2312" w:eastAsia="仿宋_GB2312" w:cs="仿宋_GB2312"/>
          <w:kern w:val="2"/>
          <w:sz w:val="21"/>
          <w:szCs w:val="21"/>
          <w:lang w:val="en-US" w:eastAsia="zh-CN" w:bidi="ar-SA"/>
        </w:rPr>
        <w:pict>
          <v:shape id="图片 2" o:spid="_x0000_s1030" type="#_x0000_t75" style="height:555.9pt;width:362.9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171"/>
        <w:widowControl w:val="0"/>
        <w:ind w:firstLine="0" w:firstLineChars="0"/>
        <w:jc w:val="both"/>
        <w:rPr>
          <w:rFonts w:ascii="仿宋_GB2312" w:hAnsi="仿宋_GB2312" w:eastAsia="仿宋_GB2312" w:cs="仿宋_GB2312"/>
          <w:bCs/>
          <w:color w:val="000000"/>
          <w:sz w:val="32"/>
          <w:szCs w:val="32"/>
        </w:rPr>
      </w:pPr>
      <w:bookmarkStart w:id="123" w:name="_Toc482948294"/>
      <w:bookmarkEnd w:id="123"/>
      <w:r>
        <w:rPr>
          <w:rFonts w:hint="eastAsia" w:ascii="仿宋_GB2312" w:hAnsi="仿宋_GB2312" w:eastAsia="仿宋_GB2312" w:cs="仿宋_GB2312"/>
          <w:bCs/>
          <w:color w:val="000000"/>
          <w:sz w:val="32"/>
          <w:szCs w:val="32"/>
        </w:rPr>
        <w:t xml:space="preserve">    2.标准分类说明</w:t>
      </w:r>
    </w:p>
    <w:p>
      <w:pPr>
        <w:pStyle w:val="171"/>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信息通信标准体系主要包含以下内容：</w:t>
      </w:r>
    </w:p>
    <w:p>
      <w:pPr>
        <w:pStyle w:val="19"/>
        <w:spacing w:before="0" w:beforeAutospacing="0" w:after="0" w:afterAutospacing="0"/>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（1）信息通信类基础标准</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信息通信类基础标准主要包括：术语和定义、移动互联人车交互标准、电磁环境兼容性、天线技术和无线电源等。</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目前移动互联人车交互技术主要涉及手机终端与智能车载终端互联的技术要求及测试方法等。</w:t>
      </w:r>
      <w:r>
        <w:rPr>
          <w:rFonts w:hint="eastAsia" w:ascii="仿宋_GB2312" w:hAnsi="仿宋_GB2312" w:eastAsia="仿宋_GB2312" w:cs="仿宋_GB2312"/>
          <w:color w:val="000000"/>
          <w:sz w:val="32"/>
          <w:szCs w:val="32"/>
        </w:rPr>
        <w:t>电磁环境兼容性标准主要围绕电磁环境与车、人之间的兼容特性评估。车载天线技术标准主要围绕车联网产业涉及的天线性能开展研究和标准制定。</w:t>
      </w:r>
      <w:r>
        <w:rPr>
          <w:rFonts w:hint="eastAsia" w:ascii="仿宋_GB2312" w:hAnsi="仿宋_GB2312" w:eastAsia="仿宋_GB2312" w:cs="仿宋_GB2312"/>
          <w:sz w:val="32"/>
          <w:szCs w:val="32"/>
        </w:rPr>
        <w:t>无线电源标准主要围绕整车无线供电与车载无线充电技术提出技术要求与评估方法并进行标准化等。</w:t>
      </w:r>
    </w:p>
    <w:p>
      <w:pPr>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（2）通信协议和设备技术标准</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通信协议和设备技术标准主要涉及V2X技术、卫星通信、导航与定位技术和车载通信设备技术要求等方面。</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V2X</w:t>
      </w:r>
      <w:r>
        <w:rPr>
          <w:rFonts w:hint="eastAsia" w:ascii="仿宋_GB2312" w:hAnsi="仿宋_GB2312" w:eastAsia="仿宋_GB2312" w:cs="仿宋_GB2312"/>
          <w:sz w:val="32"/>
          <w:szCs w:val="32"/>
        </w:rPr>
        <w:t>技术标准包涵LTE</w:t>
      </w:r>
      <w:r>
        <w:rPr>
          <w:rFonts w:ascii="仿宋_GB2312" w:hAnsi="仿宋_GB2312" w:eastAsia="仿宋_GB2312" w:cs="仿宋_GB2312"/>
          <w:sz w:val="32"/>
          <w:szCs w:val="32"/>
        </w:rPr>
        <w:t>-V2X</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G eV2X</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主要包括</w:t>
      </w:r>
      <w:r>
        <w:rPr>
          <w:rFonts w:hint="eastAsia" w:ascii="仿宋_GB2312" w:hAnsi="仿宋_GB2312" w:eastAsia="仿宋_GB2312" w:cs="仿宋_GB2312"/>
          <w:sz w:val="32"/>
          <w:szCs w:val="32"/>
        </w:rPr>
        <w:t>： V2X接口标准、网络通信标准、基站设备规范和测试规范、网络层/应用层标准、终端间互操作标准、终端与网络设备互操作标准等。卫星通信技术标准包含天线和伺服系统、车载卫星通信系统等。</w:t>
      </w:r>
      <w:r>
        <w:rPr>
          <w:rFonts w:hint="eastAsia" w:ascii="仿宋_GB2312" w:hAnsi="仿宋_GB2312" w:eastAsia="仿宋_GB2312" w:cs="仿宋_GB2312"/>
          <w:color w:val="000000"/>
          <w:sz w:val="32"/>
          <w:szCs w:val="32"/>
        </w:rPr>
        <w:t>导航定位标准包括车载导航定位性能、定时技术和电磁兼容性的技术要求和测试方法。</w:t>
      </w:r>
      <w:r>
        <w:rPr>
          <w:rFonts w:hint="eastAsia" w:ascii="仿宋_GB2312" w:hAnsi="仿宋_GB2312" w:eastAsia="仿宋_GB2312" w:cs="仿宋_GB2312"/>
          <w:sz w:val="32"/>
          <w:szCs w:val="32"/>
        </w:rPr>
        <w:t>车载通信设备标准主要包含车载网关设备、车载窄带语音通信设备、车载无线通信接口技术要求和检测方法等。</w:t>
      </w:r>
    </w:p>
    <w:p>
      <w:pPr>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（3）业务与应用标准</w:t>
      </w:r>
    </w:p>
    <w:p>
      <w:pPr>
        <w:pStyle w:val="19"/>
        <w:shd w:val="clear" w:color="auto" w:fill="FFFFFF"/>
        <w:spacing w:before="0" w:beforeAutospacing="0" w:after="0" w:afterAutospacing="0" w:line="393" w:lineRule="atLeast"/>
        <w:ind w:firstLine="640"/>
        <w:jc w:val="both"/>
        <w:rPr>
          <w:rFonts w:ascii="仿宋_GB2312" w:hAnsi="仿宋_GB2312" w:eastAsia="仿宋_GB2312" w:cs="仿宋_GB2312"/>
        </w:rPr>
      </w:pPr>
      <w:r>
        <w:rPr>
          <w:rFonts w:hint="eastAsia" w:ascii="仿宋_GB2312" w:hAnsi="仿宋_GB2312" w:eastAsia="仿宋_GB2312" w:cs="仿宋_GB2312"/>
          <w:kern w:val="2"/>
          <w:sz w:val="32"/>
          <w:szCs w:val="32"/>
        </w:rPr>
        <w:t>车联网产业相关的业务与应用包括效率出行类应用、主动安全类应用、信息通信平台类应用、车载紧急救援应用、信息共享和使用、车联网产业基础数据和云服务等。业务与应用标准主要规定具体服务产品和系统的功能要求、性能要求以及对应的试验方法等。</w:t>
      </w:r>
    </w:p>
    <w:p>
      <w:pPr>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（4）网络与数据安全</w:t>
      </w:r>
    </w:p>
    <w:p>
      <w:pPr>
        <w:pStyle w:val="171"/>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网络与数据安全标准包括安全体系架构、通信安全、数据安全、网络安全防护、安全监控、应急管理等。</w:t>
      </w:r>
    </w:p>
    <w:p>
      <w:pPr>
        <w:rPr>
          <w:rFonts w:ascii="仿宋" w:hAnsi="仿宋" w:eastAsia="仿宋"/>
          <w:b/>
          <w:bCs/>
          <w:kern w:val="44"/>
          <w:sz w:val="32"/>
          <w:szCs w:val="32"/>
        </w:rPr>
      </w:pPr>
      <w:r>
        <w:rPr>
          <w:rFonts w:ascii="仿宋" w:hAnsi="仿宋" w:eastAsia="仿宋"/>
          <w:sz w:val="32"/>
          <w:szCs w:val="32"/>
        </w:rPr>
        <w:br w:type="page"/>
      </w:r>
    </w:p>
    <w:p>
      <w:pPr>
        <w:pStyle w:val="2"/>
        <w:spacing w:before="0" w:after="0" w:line="240" w:lineRule="auto"/>
        <w:ind w:firstLine="643" w:firstLineChars="200"/>
        <w:rPr>
          <w:rFonts w:ascii="仿宋" w:hAnsi="仿宋" w:eastAsia="仿宋"/>
          <w:sz w:val="32"/>
          <w:szCs w:val="32"/>
        </w:rPr>
      </w:pPr>
      <w:bookmarkStart w:id="124" w:name="_Toc490492200"/>
      <w:r>
        <w:rPr>
          <w:rFonts w:hint="eastAsia" w:ascii="仿宋" w:hAnsi="仿宋" w:eastAsia="仿宋"/>
          <w:sz w:val="32"/>
          <w:szCs w:val="32"/>
        </w:rPr>
        <w:t>（三）电子产品与服务标准体系</w:t>
      </w:r>
      <w:bookmarkEnd w:id="124"/>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1.标准体系结构图</w:t>
      </w:r>
    </w:p>
    <w:p>
      <w:pPr>
        <w:pStyle w:val="171"/>
        <w:widowControl w:val="0"/>
        <w:ind w:firstLine="0" w:firstLineChars="0"/>
        <w:jc w:val="center"/>
        <w:rPr>
          <w:rFonts w:ascii="宋体" w:hAnsi="宋体" w:eastAsia="仿宋_GB2312"/>
          <w:bCs/>
          <w:color w:val="000000"/>
          <w:sz w:val="32"/>
          <w:szCs w:val="32"/>
        </w:rPr>
      </w:pPr>
      <w:r>
        <w:rPr>
          <w:rFonts w:ascii="宋体" w:hAnsi="宋体" w:eastAsia="仿宋_GB2312" w:cs="Times New Roman"/>
          <w:bCs/>
          <w:color w:val="000000"/>
          <w:kern w:val="2"/>
          <w:sz w:val="32"/>
          <w:szCs w:val="32"/>
          <w:lang w:val="en-US" w:eastAsia="zh-CN" w:bidi="ar-SA"/>
        </w:rPr>
        <w:pict>
          <v:shape id="图片 1" o:spid="_x0000_s1031" type="#_x0000_t75" style="height:585.65pt;width:417.6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 w:hAnsi="仿宋" w:eastAsia="仿宋"/>
          <w:bCs/>
          <w:color w:val="000000"/>
          <w:sz w:val="32"/>
          <w:szCs w:val="32"/>
        </w:rPr>
        <w:t xml:space="preserve">    </w:t>
      </w:r>
      <w:r>
        <w:rPr>
          <w:rFonts w:hint="eastAsia" w:ascii="仿宋_GB2312" w:hAnsi="仿宋_GB2312" w:eastAsia="仿宋_GB2312" w:cs="仿宋_GB2312"/>
          <w:bCs/>
          <w:color w:val="000000"/>
          <w:sz w:val="32"/>
          <w:szCs w:val="32"/>
        </w:rPr>
        <w:t>2.标准分类说明</w:t>
      </w:r>
    </w:p>
    <w:p>
      <w:pPr>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电子产品与服务标准体系主要包括基础、汽车电子产品、网络设备、服务与平台、网络与信息安全等标准。</w:t>
      </w:r>
      <w:bookmarkStart w:id="125" w:name="_Toc483081029"/>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（1）基础标准</w:t>
      </w:r>
      <w:bookmarkEnd w:id="125"/>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基础类标准主要包括术语、体系架构、标识和编码等标准。术语标准为其他各部分标准的制定提供支撑。体系架构主要规范信息服务的体系框架，明确其边界及各部分的层级关系和内在联系；标识和编码可以支持对车载终端设备的辨识、寻址、路由和访问。</w:t>
      </w:r>
      <w:bookmarkStart w:id="126" w:name="_Toc483081030"/>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（2）汽车电子产品标准</w:t>
      </w:r>
      <w:bookmarkEnd w:id="126"/>
    </w:p>
    <w:p>
      <w:pPr>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汽车车载电子产品类标准是指智能网联汽车、信息通信网络和车载信息服务中，具备感知、传递、计算、反馈、执行等单一功能的电子信息材料、零件、部件、嵌入式软件等方面的技术规范和测试标准。主要包括基础产品、终端、软件和新能源汽车关键电子产品等标准。</w:t>
      </w:r>
      <w:bookmarkStart w:id="127" w:name="_Toc483081031"/>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sz w:val="32"/>
          <w:szCs w:val="32"/>
        </w:rPr>
        <w:t>网络设备</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网络设备类</w:t>
      </w:r>
      <w:r>
        <w:rPr>
          <w:rFonts w:hint="eastAsia" w:ascii="仿宋_GB2312" w:hAnsi="仿宋_GB2312" w:eastAsia="仿宋_GB2312" w:cs="仿宋_GB2312"/>
          <w:sz w:val="32"/>
          <w:szCs w:val="32"/>
        </w:rPr>
        <w:t>标准主要包括固定设备和移动设备两个领域的标准。固定设备主要指路边单元等固定设备。移动设备类主要指手持诊断设备、工程维修、车辆故障在线分析仪器等专门领域的设备。</w:t>
      </w:r>
      <w:bookmarkEnd w:id="127"/>
      <w:bookmarkStart w:id="128" w:name="_Toc483081033"/>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（4）服务与平台标准</w:t>
      </w:r>
      <w:bookmarkEnd w:id="128"/>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服务平台类标准包括平台架构、平台接口、平台数据管理、平台运营以及信息服务五个方面的标准。平台架构主要确定平台基本架构规范；平台接口规定了平台与终端、平台间、平台与上层管理系统等方面的接口标准；平台数据管理包括数据接口、数据管理和大数据应用方面的要求和规范；平台运营主要规定了平台运营功能要求；信息服务包括地理信息和位置服务、车载广播等标准。</w:t>
      </w:r>
      <w:bookmarkStart w:id="129" w:name="_Toc483081034"/>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（5）网络与信息安全标准</w:t>
      </w:r>
      <w:bookmarkEnd w:id="129"/>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网络与信息安全类标准包括车联网产业中系统安全、车载终端安全、移动应用软件和服务运营平台安全等标准。</w:t>
      </w:r>
    </w:p>
    <w:p>
      <w:pPr>
        <w:rPr>
          <w:rFonts w:ascii="仿宋" w:hAnsi="仿宋" w:eastAsia="仿宋"/>
          <w:b/>
          <w:bCs/>
          <w:kern w:val="44"/>
          <w:sz w:val="32"/>
          <w:szCs w:val="32"/>
        </w:rPr>
      </w:pPr>
      <w:r>
        <w:rPr>
          <w:rFonts w:ascii="仿宋" w:hAnsi="仿宋" w:eastAsia="仿宋"/>
          <w:sz w:val="32"/>
          <w:szCs w:val="32"/>
        </w:rPr>
        <w:br w:type="page"/>
      </w:r>
    </w:p>
    <w:p>
      <w:pPr>
        <w:pStyle w:val="2"/>
        <w:spacing w:before="0" w:after="0" w:line="240" w:lineRule="auto"/>
        <w:rPr>
          <w:rFonts w:ascii="仿宋" w:hAnsi="仿宋" w:eastAsia="仿宋"/>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bookmarkStart w:id="130" w:name="_Toc490492201"/>
      <w:r>
        <w:rPr>
          <w:rFonts w:hint="eastAsia" w:ascii="仿宋_GB2312" w:hAnsi="仿宋_GB2312" w:eastAsia="仿宋_GB2312" w:cs="仿宋_GB2312"/>
          <w:sz w:val="32"/>
          <w:szCs w:val="32"/>
        </w:rPr>
        <w:t>（四）智能交通相关标准体系</w:t>
      </w:r>
      <w:bookmarkEnd w:id="130"/>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1.标准体系结构图</w:t>
      </w:r>
    </w:p>
    <w:p>
      <w:pPr>
        <w:pStyle w:val="171"/>
        <w:widowControl w:val="0"/>
        <w:ind w:firstLine="0" w:firstLineChars="0"/>
        <w:jc w:val="both"/>
        <w:rPr>
          <w:rFonts w:ascii="仿宋" w:hAnsi="仿宋" w:eastAsia="仿宋"/>
          <w:bCs/>
          <w:color w:val="000000"/>
          <w:sz w:val="32"/>
          <w:szCs w:val="32"/>
        </w:rPr>
      </w:pPr>
      <w:r>
        <w:rPr>
          <w:rFonts w:ascii="仿宋" w:hAnsi="仿宋" w:eastAsia="仿宋" w:cs="Times New Roman"/>
          <w:bCs/>
          <w:color w:val="000000"/>
          <w:kern w:val="2"/>
          <w:sz w:val="32"/>
          <w:szCs w:val="32"/>
          <w:lang w:val="en-US" w:eastAsia="zh-CN" w:bidi="ar-SA"/>
        </w:rPr>
        <w:pict>
          <v:shape id="图片 4" o:spid="_x0000_s1032" type="#_x0000_t75" style="height:484.3pt;width:374.8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pStyle w:val="171"/>
        <w:widowControl w:val="0"/>
        <w:ind w:firstLine="0" w:firstLineChars="0"/>
        <w:jc w:val="both"/>
        <w:rPr>
          <w:rFonts w:ascii="仿宋_GB2312" w:hAnsi="仿宋_GB2312" w:eastAsia="仿宋_GB2312" w:cs="仿宋_GB2312"/>
          <w:bCs/>
          <w:color w:val="000000"/>
          <w:sz w:val="32"/>
          <w:szCs w:val="32"/>
        </w:rPr>
      </w:pPr>
      <w:r>
        <w:rPr>
          <w:rFonts w:hint="eastAsia" w:ascii="仿宋" w:hAnsi="仿宋" w:eastAsia="仿宋"/>
          <w:bCs/>
          <w:color w:val="000000"/>
          <w:sz w:val="32"/>
          <w:szCs w:val="32"/>
        </w:rPr>
        <w:t xml:space="preserve">   </w:t>
      </w:r>
      <w:r>
        <w:rPr>
          <w:rFonts w:hint="eastAsia" w:ascii="仿宋_GB2312" w:hAnsi="仿宋_GB2312" w:eastAsia="仿宋_GB2312" w:cs="仿宋_GB2312"/>
          <w:bCs/>
          <w:color w:val="000000"/>
          <w:sz w:val="32"/>
          <w:szCs w:val="32"/>
        </w:rPr>
        <w:t xml:space="preserve"> 2.标准分类说明</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智能交通相关标准体系以规范智能交通系统（ITS）技术、服务和产品为重点任务。智能驾驶、车路协同等重点技术是当前ITS领域的研究热点和发展趋势，是新一轮科学技术及产业发展的重要竞争领域，对提升交通安全、缓解交通拥堵、拉动上下游产业有重要意义。</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（1）智能交通相关基础标准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基础类标准主要包括术语与定义、分类编码与符号和数据管理等。术语与定义主要包括智能运输系统相关术语、定义；分类编码与符号主要包括编码规则、代码结构和图形符号类标准；数据管理主要包括数据表达与管理、数据元、数据字典类标准等。</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（2）智能交通相关服务标准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服务类标准主要包括交通管理、出行服务、运输组织等。交通管理类标准主要包括交通管理与控制、事件管理与应急等标准；出行服务主要面向出行者提供的各类服务，包括电子支付服务、一体化出行服务、智能驾驶服务等标准；运输组织主要面向运输企业提供的各类服务，包括客运服务智能化、物流信息化、营运车辆运行服务等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（3）智能交通相关技术标准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技术类标准主要包括信息采集技术、信息交互技术和信息安全技术。信息采集技术是指交通设施、运输工具、交通运行、道路环境等信息采集、状态感知技术指标和参数。信息交互技术是指不同设备、系统、服务间的数据传输、信息交换等标准。信息安全技术是指数据安全、交易安全、身份认定、网络信任等相关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（4）智能交通相关产品标准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产品类标准主要包括路侧及中心系统和车载及便携设备等。路侧及中心系统</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是指路侧设施类设备的工艺、性能、安装等要求和测试方法，以及中心或后台系统的性能、部署等要求和测试方法；车载及便携设备是指车载、手持等移动终端、便携设备的工艺、性能、安装等要求以及测试方法。</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（5）智能交通相关其它标准</w:t>
      </w:r>
    </w:p>
    <w:p>
      <w:pPr>
        <w:pStyle w:val="171"/>
        <w:widowControl w:val="0"/>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其它标准主要包括与智能交通关系比较密切的其它交通运输类标准。</w:t>
      </w:r>
    </w:p>
    <w:p>
      <w:pPr>
        <w:rPr>
          <w:rFonts w:ascii="仿宋_GB2312" w:hAnsi="仿宋_GB2312" w:eastAsia="仿宋_GB2312" w:cs="仿宋_GB2312"/>
          <w:b/>
          <w:bCs/>
          <w:kern w:val="44"/>
          <w:sz w:val="32"/>
          <w:szCs w:val="32"/>
        </w:rPr>
      </w:pPr>
      <w:r>
        <w:rPr>
          <w:rFonts w:ascii="仿宋_GB2312" w:hAnsi="仿宋_GB2312" w:eastAsia="仿宋_GB2312" w:cs="仿宋_GB2312"/>
          <w:sz w:val="32"/>
          <w:szCs w:val="32"/>
        </w:rPr>
        <w:br w:type="page"/>
      </w:r>
    </w:p>
    <w:p>
      <w:pPr>
        <w:pStyle w:val="2"/>
        <w:spacing w:before="0" w:after="0"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131" w:name="_Toc490492202"/>
      <w:r>
        <w:rPr>
          <w:rFonts w:hint="eastAsia" w:ascii="仿宋_GB2312" w:hAnsi="仿宋_GB2312" w:eastAsia="仿宋_GB2312" w:cs="仿宋_GB2312"/>
          <w:sz w:val="32"/>
          <w:szCs w:val="32"/>
        </w:rPr>
        <w:t>（五）车辆智能管理标准体系</w:t>
      </w:r>
      <w:bookmarkEnd w:id="131"/>
    </w:p>
    <w:p>
      <w:pPr>
        <w:pStyle w:val="171"/>
        <w:widowControl w:val="0"/>
        <w:ind w:firstLine="0" w:firstLineChars="0"/>
        <w:jc w:val="both"/>
        <w:rPr>
          <w:rFonts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仿宋_GB2312" w:hAnsi="仿宋_GB2312" w:eastAsia="仿宋_GB2312" w:cs="仿宋_GB2312"/>
          <w:bCs/>
          <w:color w:val="000000"/>
          <w:sz w:val="32"/>
          <w:szCs w:val="32"/>
        </w:rPr>
        <w:t xml:space="preserve">   1.标准体系结构图</w:t>
      </w:r>
    </w:p>
    <w:p>
      <w:pPr>
        <w:pStyle w:val="171"/>
        <w:widowControl w:val="0"/>
        <w:ind w:firstLine="0" w:firstLineChars="0"/>
        <w:jc w:val="both"/>
        <w:rPr>
          <w:rFonts w:ascii="仿宋" w:hAnsi="仿宋" w:eastAsia="仿宋"/>
          <w:sz w:val="32"/>
          <w:szCs w:val="32"/>
        </w:rPr>
      </w:pPr>
      <w:r>
        <w:rPr>
          <w:rFonts w:ascii="仿宋" w:hAnsi="仿宋" w:eastAsia="仿宋" w:cs="Times New Roman"/>
          <w:kern w:val="2"/>
          <w:sz w:val="32"/>
          <w:szCs w:val="32"/>
          <w:lang w:val="en-US" w:eastAsia="zh-CN" w:bidi="ar-SA"/>
        </w:rPr>
        <w:pict>
          <v:shape id="图片 117" o:spid="_x0000_s1033" type="#_x0000_t75" style="height:445.45pt;width:348.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5.2标准分类说明</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车辆智能管理标准体系主要研究并制定相关法律法规，对交通安全行为进行有效规范，降低法律风险，促进车联网产业有序发展。主要包括车辆智能管理相关的基础标准、产品类标准、安全类标准和安全运行测试与规范管理类标准等。</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（1）车辆智能管理基础标准</w:t>
      </w:r>
    </w:p>
    <w:p>
      <w:pPr>
        <w:pStyle w:val="171"/>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车辆智能管理基础标准主要包括机动车/驾驶人电子身份代码编码规范、机动车电子标识读写基础协议</w:t>
      </w:r>
      <w:r>
        <w:rPr>
          <w:rFonts w:hint="eastAsia" w:ascii="仿宋_GB2312" w:hAnsi="仿宋_GB2312" w:eastAsia="仿宋_GB2312" w:cs="仿宋_GB2312"/>
          <w:sz w:val="32"/>
          <w:szCs w:val="32"/>
        </w:rPr>
        <w:t>等。</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（2）车辆智能管理产品类标准</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车辆智能管理产品类标准主要包括汽车、机动车电子标识安装规范、机动车电子标识读写设备通用技术条件和安装规范、汽车行驶记录仪、驾驶证读写设备通用技术条件、机动车身份识别系统中间件技术要求、机动车身份识别系统架构、机动车身份识别系统信息交换和共享技术要求以及管理服务平台技术要求、机动车车载终端交通执法数据访问接口规范、智能车辆行驶记录仪技术要求等。</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（3）车辆智能管理安全类标准</w:t>
      </w:r>
    </w:p>
    <w:p>
      <w:pPr>
        <w:pStyle w:val="171"/>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车辆智能管理安全类标准主要包括机动车电子标识安全技术要求、机动车电子标识读写设备安全技术要求、机动车电子身份模块安全技术要求、机</w:t>
      </w:r>
      <w:r>
        <w:rPr>
          <w:rFonts w:hint="eastAsia" w:ascii="仿宋_GB2312" w:hAnsi="仿宋_GB2312" w:eastAsia="仿宋_GB2312" w:cs="仿宋_GB2312"/>
          <w:sz w:val="32"/>
          <w:szCs w:val="32"/>
        </w:rPr>
        <w:t>动车电子标识密钥管理系统技术要求、机动车车辆身份识别系统安全技术要求、机动车车载终端安全技术要求、新能源及智能车辆安全运行监测记录技术要求、智能车辆交通违法行为取证规范、智能车辆交通事故责任认定方法和程序要求、道路交通安全违法行为、卫星定位技术取证规范、驾驶证读写设备安全技术要求、电动汽车电源安全管理技术要求、车载终端与交通信号控制机交互技术规范、车载终端与交通安全设施接口规范等。</w:t>
      </w:r>
    </w:p>
    <w:p>
      <w:pPr>
        <w:pStyle w:val="171"/>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（4）智能网联车辆安全运行测试与规范管理类标准</w:t>
      </w:r>
    </w:p>
    <w:p>
      <w:pPr>
        <w:pStyle w:val="171"/>
        <w:widowControl w:val="0"/>
        <w:ind w:firstLine="640"/>
        <w:jc w:val="both"/>
        <w:rPr>
          <w:rFonts w:ascii="仿宋_GB2312" w:hAnsi="仿宋_GB2312" w:eastAsia="仿宋_GB2312" w:cs="仿宋_GB2312"/>
          <w:bCs/>
          <w:color w:val="000000"/>
          <w:sz w:val="32"/>
          <w:szCs w:val="32"/>
        </w:rPr>
      </w:pPr>
      <w:r>
        <w:rPr>
          <w:rFonts w:hint="eastAsia" w:ascii="仿宋_GB2312" w:hAnsi="仿宋_GB2312" w:eastAsia="仿宋_GB2312" w:cs="仿宋_GB2312"/>
          <w:sz w:val="32"/>
          <w:szCs w:val="32"/>
        </w:rPr>
        <w:t>智能网联车辆安全运行测试与规范管理类标准主要包括智能车辆公共道路测试管理规范、智能车辆公共道路测试申请程序指南、智能车辆测试基地建设和验收要求、智能网辆安全运行测试技术要求、智能车辆安全运行测试项目和方法、智能车辆测试与使用车牌、智能车辆注册程序要求、智能车辆驾驶教育和培训技术指南、智能车辆外观标识等。</w:t>
      </w:r>
    </w:p>
    <w:p>
      <w:pPr>
        <w:pStyle w:val="2"/>
        <w:spacing w:before="156" w:beforeLines="50" w:after="156" w:afterLines="50" w:line="240" w:lineRule="auto"/>
        <w:rPr>
          <w:rFonts w:ascii="黑体" w:hAnsi="黑体" w:eastAsia="黑体" w:cs="黑体"/>
          <w:b w:val="0"/>
          <w:bCs w:val="0"/>
          <w:kern w:val="2"/>
          <w:sz w:val="36"/>
          <w:szCs w:val="36"/>
        </w:rPr>
      </w:pPr>
      <w:bookmarkStart w:id="132" w:name="_Toc436335565"/>
      <w:r>
        <w:rPr>
          <w:rFonts w:hint="eastAsia" w:ascii="黑体" w:hAnsi="黑体" w:eastAsia="黑体" w:cs="黑体"/>
          <w:b w:val="0"/>
          <w:bCs w:val="0"/>
          <w:kern w:val="2"/>
          <w:sz w:val="36"/>
          <w:szCs w:val="36"/>
        </w:rPr>
        <w:t xml:space="preserve">    </w:t>
      </w:r>
      <w:bookmarkStart w:id="133" w:name="_Toc490492203"/>
      <w:r>
        <w:rPr>
          <w:rFonts w:hint="eastAsia" w:ascii="黑体" w:hAnsi="黑体" w:eastAsia="黑体" w:cs="黑体"/>
          <w:b w:val="0"/>
          <w:bCs w:val="0"/>
          <w:kern w:val="2"/>
          <w:sz w:val="36"/>
          <w:szCs w:val="36"/>
        </w:rPr>
        <w:t>四、组织实施</w:t>
      </w:r>
      <w:bookmarkEnd w:id="132"/>
      <w:bookmarkEnd w:id="133"/>
      <w:bookmarkStart w:id="134" w:name="_Toc436335566"/>
      <w:bookmarkEnd w:id="134"/>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由工业和信息化部会同交通部、公安部等部门，组织标准化机构、科研院所、产业联盟、企业等单位，按照本标准指南共同开展车联网产业标准制定工作。</w:t>
      </w:r>
    </w:p>
    <w:p>
      <w:pPr>
        <w:widowControl w:val="0"/>
        <w:ind w:firstLine="640" w:firstLineChars="200"/>
        <w:jc w:val="both"/>
        <w:rPr>
          <w:rFonts w:ascii="仿宋_GB2312" w:hAnsi="仿宋_GB2312" w:eastAsia="仿宋_GB2312" w:cs="仿宋_GB2312"/>
          <w:sz w:val="32"/>
          <w:szCs w:val="32"/>
        </w:rPr>
      </w:pPr>
    </w:p>
    <w:sectPr>
      <w:footerReference r:id="rId6" w:type="first"/>
      <w:type w:val="continuous"/>
      <w:pgSz w:w="11906" w:h="16838"/>
      <w:pgMar w:top="1440" w:right="1800" w:bottom="1440" w:left="1800" w:header="851" w:footer="992" w:gutter="0"/>
      <w:pgNumType w:start="1"/>
      <w:cols w:space="720" w:num="1"/>
      <w:titlePg/>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libri Light">
    <w:altName w:val="Calibri"/>
    <w:panose1 w:val="020F0302020204030204"/>
    <w:charset w:val="00"/>
    <w:family w:val="auto"/>
    <w:pitch w:val="default"/>
    <w:sig w:usb0="A00002EF" w:usb1="4000207B" w:usb2="00000000"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t>12</w:t>
    </w:r>
    <w:r>
      <w:rPr>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rPr>
        <w:sz w:val="24"/>
        <w:szCs w:val="24"/>
      </w:rP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t>1</w:t>
    </w:r>
    <w:r>
      <w:rPr>
        <w:sz w:val="24"/>
        <w:szCs w:val="24"/>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
    <w:nsid w:val="00000014"/>
    <w:multiLevelType w:val="multilevel"/>
    <w:tmpl w:val="00000014"/>
    <w:lvl w:ilvl="0" w:tentative="1">
      <w:start w:val="1"/>
      <w:numFmt w:val="decimal"/>
      <w:pStyle w:val="100"/>
      <w:suff w:val="nothing"/>
      <w:lvlText w:val="图%1　"/>
      <w:lvlJc w:val="left"/>
      <w:pPr>
        <w:ind w:left="284"/>
      </w:pPr>
      <w:rPr>
        <w:rFonts w:hint="eastAsia" w:ascii="黑体" w:hAnsi="Times New Roman" w:eastAsia="黑体" w:cs="Times New Roman"/>
        <w:b w:val="0"/>
        <w:bCs w:val="0"/>
        <w:i w:val="0"/>
        <w:iCs w:val="0"/>
        <w:sz w:val="21"/>
        <w:szCs w:val="21"/>
      </w:rPr>
    </w:lvl>
    <w:lvl w:ilvl="1" w:tentative="1">
      <w:start w:val="1"/>
      <w:numFmt w:val="decimal"/>
      <w:suff w:val="nothing"/>
      <w:lvlText w:val="%1%2　"/>
      <w:lvlJc w:val="left"/>
      <w:pPr>
        <w:ind w:left="284"/>
      </w:pPr>
      <w:rPr>
        <w:rFonts w:hint="default" w:ascii="Times New Roman" w:hAnsi="Times New Roman" w:eastAsia="黑体" w:cs="Times New Roman"/>
        <w:b w:val="0"/>
        <w:bCs w:val="0"/>
        <w:i w:val="0"/>
        <w:iCs w:val="0"/>
        <w:sz w:val="21"/>
        <w:szCs w:val="21"/>
      </w:rPr>
    </w:lvl>
    <w:lvl w:ilvl="2" w:tentative="1">
      <w:start w:val="1"/>
      <w:numFmt w:val="decimal"/>
      <w:suff w:val="nothing"/>
      <w:lvlText w:val="%1%2.%3　"/>
      <w:lvlJc w:val="left"/>
      <w:pPr>
        <w:ind w:left="284"/>
      </w:pPr>
      <w:rPr>
        <w:rFonts w:hint="default" w:ascii="Times New Roman" w:hAnsi="Times New Roman" w:eastAsia="黑体" w:cs="Times New Roman"/>
        <w:b w:val="0"/>
        <w:bCs w:val="0"/>
        <w:i w:val="0"/>
        <w:iCs w:val="0"/>
        <w:sz w:val="21"/>
        <w:szCs w:val="21"/>
      </w:rPr>
    </w:lvl>
    <w:lvl w:ilvl="3" w:tentative="1">
      <w:start w:val="1"/>
      <w:numFmt w:val="decimal"/>
      <w:suff w:val="nothing"/>
      <w:lvlText w:val="%1%2.%3.%4　"/>
      <w:lvlJc w:val="left"/>
      <w:pPr>
        <w:ind w:left="284"/>
      </w:pPr>
      <w:rPr>
        <w:rFonts w:hint="default" w:ascii="Times New Roman" w:hAnsi="Times New Roman" w:eastAsia="黑体" w:cs="Times New Roman"/>
        <w:b w:val="0"/>
        <w:bCs w:val="0"/>
        <w:i w:val="0"/>
        <w:iCs w:val="0"/>
        <w:sz w:val="21"/>
        <w:szCs w:val="21"/>
      </w:rPr>
    </w:lvl>
    <w:lvl w:ilvl="4" w:tentative="1">
      <w:start w:val="1"/>
      <w:numFmt w:val="decimal"/>
      <w:suff w:val="nothing"/>
      <w:lvlText w:val="%1%2.%3.%4.%5　"/>
      <w:lvlJc w:val="left"/>
      <w:pPr>
        <w:ind w:left="284"/>
      </w:pPr>
      <w:rPr>
        <w:rFonts w:hint="default" w:ascii="Times New Roman" w:hAnsi="Times New Roman" w:eastAsia="黑体" w:cs="Times New Roman"/>
        <w:b w:val="0"/>
        <w:bCs w:val="0"/>
        <w:i w:val="0"/>
        <w:iCs w:val="0"/>
        <w:sz w:val="21"/>
        <w:szCs w:val="21"/>
      </w:rPr>
    </w:lvl>
    <w:lvl w:ilvl="5" w:tentative="1">
      <w:start w:val="1"/>
      <w:numFmt w:val="decimal"/>
      <w:suff w:val="nothing"/>
      <w:lvlText w:val="%1%2.%3.%4.%5.%6　"/>
      <w:lvlJc w:val="left"/>
      <w:pPr>
        <w:ind w:left="284"/>
      </w:pPr>
      <w:rPr>
        <w:rFonts w:hint="default" w:ascii="Times New Roman" w:hAnsi="Times New Roman" w:eastAsia="黑体" w:cs="Times New Roman"/>
        <w:b w:val="0"/>
        <w:bCs w:val="0"/>
        <w:i w:val="0"/>
        <w:iCs w:val="0"/>
        <w:sz w:val="21"/>
        <w:szCs w:val="21"/>
      </w:rPr>
    </w:lvl>
    <w:lvl w:ilvl="6" w:tentative="1">
      <w:start w:val="1"/>
      <w:numFmt w:val="decimal"/>
      <w:suff w:val="nothing"/>
      <w:lvlText w:val="%1%2.%3.%4.%5.%6.%7　"/>
      <w:lvlJc w:val="left"/>
      <w:pPr>
        <w:ind w:left="284"/>
      </w:pPr>
      <w:rPr>
        <w:rFonts w:hint="default" w:ascii="Times New Roman" w:hAnsi="Times New Roman" w:eastAsia="黑体" w:cs="Times New Roman"/>
        <w:b w:val="0"/>
        <w:bCs w:val="0"/>
        <w:i w:val="0"/>
        <w:iCs w:val="0"/>
        <w:sz w:val="21"/>
        <w:szCs w:val="21"/>
      </w:rPr>
    </w:lvl>
    <w:lvl w:ilvl="7" w:tentative="1">
      <w:start w:val="1"/>
      <w:numFmt w:val="decimal"/>
      <w:lvlText w:val="%1.%2.%3.%4.%5.%6.%7.%8"/>
      <w:lvlJc w:val="left"/>
      <w:pPr>
        <w:tabs>
          <w:tab w:val="left" w:pos="4635"/>
        </w:tabs>
        <w:ind w:left="4253" w:hanging="1418"/>
      </w:pPr>
      <w:rPr>
        <w:rFonts w:hint="eastAsia" w:cs="Times New Roman"/>
      </w:rPr>
    </w:lvl>
    <w:lvl w:ilvl="8" w:tentative="1">
      <w:start w:val="1"/>
      <w:numFmt w:val="decimal"/>
      <w:lvlText w:val="%1.%2.%3.%4.%5.%6.%7.%8.%9"/>
      <w:lvlJc w:val="left"/>
      <w:pPr>
        <w:tabs>
          <w:tab w:val="left" w:pos="5061"/>
        </w:tabs>
        <w:ind w:left="4961" w:hanging="1700"/>
      </w:pPr>
      <w:rPr>
        <w:rFonts w:hint="eastAsia" w:cs="Times New Roman"/>
      </w:rPr>
    </w:lvl>
  </w:abstractNum>
  <w:num w:numId="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B5A"/>
    <w:rsid w:val="000011B8"/>
    <w:rsid w:val="00006CA4"/>
    <w:rsid w:val="00007D9C"/>
    <w:rsid w:val="00010859"/>
    <w:rsid w:val="00012F33"/>
    <w:rsid w:val="00017D62"/>
    <w:rsid w:val="00017D63"/>
    <w:rsid w:val="00020370"/>
    <w:rsid w:val="000241CD"/>
    <w:rsid w:val="000248CA"/>
    <w:rsid w:val="00027DEB"/>
    <w:rsid w:val="00032DF9"/>
    <w:rsid w:val="00037AA6"/>
    <w:rsid w:val="00041419"/>
    <w:rsid w:val="00041766"/>
    <w:rsid w:val="000429BE"/>
    <w:rsid w:val="000433F6"/>
    <w:rsid w:val="0004393F"/>
    <w:rsid w:val="00043D7E"/>
    <w:rsid w:val="00044221"/>
    <w:rsid w:val="00044B31"/>
    <w:rsid w:val="000533F4"/>
    <w:rsid w:val="00053E94"/>
    <w:rsid w:val="00055797"/>
    <w:rsid w:val="000568AF"/>
    <w:rsid w:val="000571BF"/>
    <w:rsid w:val="00062C7F"/>
    <w:rsid w:val="00067B89"/>
    <w:rsid w:val="0007035D"/>
    <w:rsid w:val="0007136E"/>
    <w:rsid w:val="00072AD0"/>
    <w:rsid w:val="00073A56"/>
    <w:rsid w:val="0007442D"/>
    <w:rsid w:val="00080AB4"/>
    <w:rsid w:val="0008125C"/>
    <w:rsid w:val="000821D3"/>
    <w:rsid w:val="00082490"/>
    <w:rsid w:val="00082917"/>
    <w:rsid w:val="00082F97"/>
    <w:rsid w:val="000844FB"/>
    <w:rsid w:val="000847CA"/>
    <w:rsid w:val="00091389"/>
    <w:rsid w:val="0009444A"/>
    <w:rsid w:val="00096506"/>
    <w:rsid w:val="00096A48"/>
    <w:rsid w:val="000A0111"/>
    <w:rsid w:val="000A0610"/>
    <w:rsid w:val="000A0B39"/>
    <w:rsid w:val="000A0E62"/>
    <w:rsid w:val="000A2CA0"/>
    <w:rsid w:val="000A3298"/>
    <w:rsid w:val="000A5C28"/>
    <w:rsid w:val="000B270B"/>
    <w:rsid w:val="000B2DDE"/>
    <w:rsid w:val="000B2E84"/>
    <w:rsid w:val="000B3513"/>
    <w:rsid w:val="000B38EA"/>
    <w:rsid w:val="000B687C"/>
    <w:rsid w:val="000B79E5"/>
    <w:rsid w:val="000C171E"/>
    <w:rsid w:val="000D088A"/>
    <w:rsid w:val="000D2826"/>
    <w:rsid w:val="000D3B61"/>
    <w:rsid w:val="000D3E37"/>
    <w:rsid w:val="000D4287"/>
    <w:rsid w:val="000D4352"/>
    <w:rsid w:val="000D6999"/>
    <w:rsid w:val="000D729F"/>
    <w:rsid w:val="000E78DC"/>
    <w:rsid w:val="000F1E38"/>
    <w:rsid w:val="000F2B01"/>
    <w:rsid w:val="000F477E"/>
    <w:rsid w:val="000F5512"/>
    <w:rsid w:val="000F6BF2"/>
    <w:rsid w:val="000F77AD"/>
    <w:rsid w:val="000F77B7"/>
    <w:rsid w:val="00100D95"/>
    <w:rsid w:val="00103353"/>
    <w:rsid w:val="001037C3"/>
    <w:rsid w:val="00103EC2"/>
    <w:rsid w:val="00104AAB"/>
    <w:rsid w:val="00104D06"/>
    <w:rsid w:val="00104E8E"/>
    <w:rsid w:val="001052D7"/>
    <w:rsid w:val="001057FF"/>
    <w:rsid w:val="001060DA"/>
    <w:rsid w:val="00106B74"/>
    <w:rsid w:val="00107667"/>
    <w:rsid w:val="001101E0"/>
    <w:rsid w:val="0011234F"/>
    <w:rsid w:val="00113625"/>
    <w:rsid w:val="0011515E"/>
    <w:rsid w:val="00117173"/>
    <w:rsid w:val="00117B1F"/>
    <w:rsid w:val="00117B9C"/>
    <w:rsid w:val="00121030"/>
    <w:rsid w:val="0012219D"/>
    <w:rsid w:val="00122EBA"/>
    <w:rsid w:val="001244F2"/>
    <w:rsid w:val="001263A8"/>
    <w:rsid w:val="001306FA"/>
    <w:rsid w:val="00130E6F"/>
    <w:rsid w:val="00132EA9"/>
    <w:rsid w:val="001365FE"/>
    <w:rsid w:val="0013757B"/>
    <w:rsid w:val="0014086F"/>
    <w:rsid w:val="00140AF6"/>
    <w:rsid w:val="00141076"/>
    <w:rsid w:val="0014115A"/>
    <w:rsid w:val="00141CA3"/>
    <w:rsid w:val="00141EA2"/>
    <w:rsid w:val="00142716"/>
    <w:rsid w:val="00143311"/>
    <w:rsid w:val="001438BA"/>
    <w:rsid w:val="001447B6"/>
    <w:rsid w:val="001454B3"/>
    <w:rsid w:val="001461C9"/>
    <w:rsid w:val="001500DE"/>
    <w:rsid w:val="00150862"/>
    <w:rsid w:val="00154020"/>
    <w:rsid w:val="00154490"/>
    <w:rsid w:val="001547C0"/>
    <w:rsid w:val="0015514A"/>
    <w:rsid w:val="001558B8"/>
    <w:rsid w:val="00155C75"/>
    <w:rsid w:val="0015665F"/>
    <w:rsid w:val="00161C00"/>
    <w:rsid w:val="001630AA"/>
    <w:rsid w:val="001645B0"/>
    <w:rsid w:val="00164F70"/>
    <w:rsid w:val="0016778E"/>
    <w:rsid w:val="0017001E"/>
    <w:rsid w:val="00172A27"/>
    <w:rsid w:val="00172DB9"/>
    <w:rsid w:val="001736E3"/>
    <w:rsid w:val="00173E77"/>
    <w:rsid w:val="00174147"/>
    <w:rsid w:val="00176626"/>
    <w:rsid w:val="00177E01"/>
    <w:rsid w:val="00177F57"/>
    <w:rsid w:val="001801F8"/>
    <w:rsid w:val="001803A2"/>
    <w:rsid w:val="001842DB"/>
    <w:rsid w:val="001856AD"/>
    <w:rsid w:val="0018761B"/>
    <w:rsid w:val="00187AF6"/>
    <w:rsid w:val="001917F0"/>
    <w:rsid w:val="00191910"/>
    <w:rsid w:val="0019309C"/>
    <w:rsid w:val="001936B3"/>
    <w:rsid w:val="001948CF"/>
    <w:rsid w:val="00195FB9"/>
    <w:rsid w:val="001960BF"/>
    <w:rsid w:val="001A0C0E"/>
    <w:rsid w:val="001A1490"/>
    <w:rsid w:val="001A1860"/>
    <w:rsid w:val="001A1BB2"/>
    <w:rsid w:val="001A2009"/>
    <w:rsid w:val="001A2CC6"/>
    <w:rsid w:val="001A3203"/>
    <w:rsid w:val="001A5475"/>
    <w:rsid w:val="001A5C3E"/>
    <w:rsid w:val="001A7FE2"/>
    <w:rsid w:val="001B07ED"/>
    <w:rsid w:val="001B13B6"/>
    <w:rsid w:val="001B201D"/>
    <w:rsid w:val="001B2120"/>
    <w:rsid w:val="001B34B4"/>
    <w:rsid w:val="001B4D46"/>
    <w:rsid w:val="001B60E5"/>
    <w:rsid w:val="001B6999"/>
    <w:rsid w:val="001C026C"/>
    <w:rsid w:val="001C112B"/>
    <w:rsid w:val="001C17DD"/>
    <w:rsid w:val="001C195F"/>
    <w:rsid w:val="001C3C23"/>
    <w:rsid w:val="001C728A"/>
    <w:rsid w:val="001C755C"/>
    <w:rsid w:val="001D0A43"/>
    <w:rsid w:val="001D251F"/>
    <w:rsid w:val="001D2FAA"/>
    <w:rsid w:val="001D318F"/>
    <w:rsid w:val="001D3367"/>
    <w:rsid w:val="001D3FC3"/>
    <w:rsid w:val="001D43C4"/>
    <w:rsid w:val="001D45FA"/>
    <w:rsid w:val="001D5F4A"/>
    <w:rsid w:val="001D745A"/>
    <w:rsid w:val="001E03A9"/>
    <w:rsid w:val="001E1CAF"/>
    <w:rsid w:val="001E3281"/>
    <w:rsid w:val="001E4039"/>
    <w:rsid w:val="001E44D8"/>
    <w:rsid w:val="001E592D"/>
    <w:rsid w:val="001F0101"/>
    <w:rsid w:val="001F0592"/>
    <w:rsid w:val="001F05AC"/>
    <w:rsid w:val="001F3B4F"/>
    <w:rsid w:val="001F3F6C"/>
    <w:rsid w:val="001F4455"/>
    <w:rsid w:val="001F6A69"/>
    <w:rsid w:val="0020020D"/>
    <w:rsid w:val="00200E73"/>
    <w:rsid w:val="00203E7D"/>
    <w:rsid w:val="00204187"/>
    <w:rsid w:val="00204FBB"/>
    <w:rsid w:val="00211928"/>
    <w:rsid w:val="00211F79"/>
    <w:rsid w:val="002134C3"/>
    <w:rsid w:val="00216D2C"/>
    <w:rsid w:val="00217DC9"/>
    <w:rsid w:val="002216E0"/>
    <w:rsid w:val="002219B5"/>
    <w:rsid w:val="00221BD6"/>
    <w:rsid w:val="002250DE"/>
    <w:rsid w:val="002279CF"/>
    <w:rsid w:val="00227F7A"/>
    <w:rsid w:val="0023265E"/>
    <w:rsid w:val="00232F25"/>
    <w:rsid w:val="002345D5"/>
    <w:rsid w:val="002362E0"/>
    <w:rsid w:val="00236709"/>
    <w:rsid w:val="00236DC0"/>
    <w:rsid w:val="002403DC"/>
    <w:rsid w:val="00240CC5"/>
    <w:rsid w:val="00240F36"/>
    <w:rsid w:val="00241056"/>
    <w:rsid w:val="002423FD"/>
    <w:rsid w:val="00242B58"/>
    <w:rsid w:val="00243173"/>
    <w:rsid w:val="002475E2"/>
    <w:rsid w:val="00247950"/>
    <w:rsid w:val="00252822"/>
    <w:rsid w:val="00252B24"/>
    <w:rsid w:val="00252E30"/>
    <w:rsid w:val="00253275"/>
    <w:rsid w:val="00255386"/>
    <w:rsid w:val="00255D1D"/>
    <w:rsid w:val="0025616A"/>
    <w:rsid w:val="002606BD"/>
    <w:rsid w:val="002622EC"/>
    <w:rsid w:val="00262F8B"/>
    <w:rsid w:val="00265008"/>
    <w:rsid w:val="002652E5"/>
    <w:rsid w:val="00266244"/>
    <w:rsid w:val="00266EC0"/>
    <w:rsid w:val="00267E2F"/>
    <w:rsid w:val="00267F91"/>
    <w:rsid w:val="002700A6"/>
    <w:rsid w:val="00270F64"/>
    <w:rsid w:val="00271A38"/>
    <w:rsid w:val="00272C65"/>
    <w:rsid w:val="00273A2D"/>
    <w:rsid w:val="00274CCC"/>
    <w:rsid w:val="00276AD9"/>
    <w:rsid w:val="00276BD4"/>
    <w:rsid w:val="0027731E"/>
    <w:rsid w:val="00277B3F"/>
    <w:rsid w:val="002801A7"/>
    <w:rsid w:val="002805C8"/>
    <w:rsid w:val="00286B64"/>
    <w:rsid w:val="002917CD"/>
    <w:rsid w:val="00295231"/>
    <w:rsid w:val="0029551C"/>
    <w:rsid w:val="00297D45"/>
    <w:rsid w:val="002A31C0"/>
    <w:rsid w:val="002A3A24"/>
    <w:rsid w:val="002A4DCC"/>
    <w:rsid w:val="002A782A"/>
    <w:rsid w:val="002A7871"/>
    <w:rsid w:val="002A7BB0"/>
    <w:rsid w:val="002B0230"/>
    <w:rsid w:val="002B03D7"/>
    <w:rsid w:val="002B0405"/>
    <w:rsid w:val="002B1D10"/>
    <w:rsid w:val="002B241F"/>
    <w:rsid w:val="002B2DEE"/>
    <w:rsid w:val="002B4CE1"/>
    <w:rsid w:val="002B62D1"/>
    <w:rsid w:val="002B66A7"/>
    <w:rsid w:val="002C26B4"/>
    <w:rsid w:val="002C2940"/>
    <w:rsid w:val="002C2D21"/>
    <w:rsid w:val="002C50B5"/>
    <w:rsid w:val="002C5618"/>
    <w:rsid w:val="002C6AD3"/>
    <w:rsid w:val="002C6EE6"/>
    <w:rsid w:val="002C7877"/>
    <w:rsid w:val="002D21C9"/>
    <w:rsid w:val="002D2C1C"/>
    <w:rsid w:val="002D3672"/>
    <w:rsid w:val="002D6223"/>
    <w:rsid w:val="002D6A97"/>
    <w:rsid w:val="002D756B"/>
    <w:rsid w:val="002E279A"/>
    <w:rsid w:val="002E386A"/>
    <w:rsid w:val="002E5927"/>
    <w:rsid w:val="002E5E2A"/>
    <w:rsid w:val="002F03A0"/>
    <w:rsid w:val="002F549F"/>
    <w:rsid w:val="002F5B60"/>
    <w:rsid w:val="002F6796"/>
    <w:rsid w:val="002F693D"/>
    <w:rsid w:val="002F76F9"/>
    <w:rsid w:val="00300E6E"/>
    <w:rsid w:val="0030562D"/>
    <w:rsid w:val="00305959"/>
    <w:rsid w:val="00307853"/>
    <w:rsid w:val="00307FF7"/>
    <w:rsid w:val="00310A62"/>
    <w:rsid w:val="003124CC"/>
    <w:rsid w:val="00315325"/>
    <w:rsid w:val="0031551C"/>
    <w:rsid w:val="00321189"/>
    <w:rsid w:val="0032291F"/>
    <w:rsid w:val="003233DE"/>
    <w:rsid w:val="00323D8A"/>
    <w:rsid w:val="00324658"/>
    <w:rsid w:val="00324A8A"/>
    <w:rsid w:val="00326549"/>
    <w:rsid w:val="00326823"/>
    <w:rsid w:val="00327BE1"/>
    <w:rsid w:val="003303C2"/>
    <w:rsid w:val="00330E83"/>
    <w:rsid w:val="00332F80"/>
    <w:rsid w:val="003357AA"/>
    <w:rsid w:val="00336A76"/>
    <w:rsid w:val="00341397"/>
    <w:rsid w:val="00342851"/>
    <w:rsid w:val="0034297D"/>
    <w:rsid w:val="00342E81"/>
    <w:rsid w:val="00344737"/>
    <w:rsid w:val="00346ECE"/>
    <w:rsid w:val="00351646"/>
    <w:rsid w:val="00352B8D"/>
    <w:rsid w:val="00354810"/>
    <w:rsid w:val="0035675D"/>
    <w:rsid w:val="003602CB"/>
    <w:rsid w:val="00362A73"/>
    <w:rsid w:val="00362E1E"/>
    <w:rsid w:val="00363809"/>
    <w:rsid w:val="00363A25"/>
    <w:rsid w:val="00365996"/>
    <w:rsid w:val="003661B6"/>
    <w:rsid w:val="00366F34"/>
    <w:rsid w:val="003672FF"/>
    <w:rsid w:val="00367862"/>
    <w:rsid w:val="0037076C"/>
    <w:rsid w:val="00372256"/>
    <w:rsid w:val="00372E96"/>
    <w:rsid w:val="00373191"/>
    <w:rsid w:val="0037663E"/>
    <w:rsid w:val="00377D6A"/>
    <w:rsid w:val="003807F8"/>
    <w:rsid w:val="00381BFD"/>
    <w:rsid w:val="00382484"/>
    <w:rsid w:val="0038375D"/>
    <w:rsid w:val="00384F47"/>
    <w:rsid w:val="00387A94"/>
    <w:rsid w:val="003904AD"/>
    <w:rsid w:val="00390A76"/>
    <w:rsid w:val="003910CB"/>
    <w:rsid w:val="003912F3"/>
    <w:rsid w:val="00392FE4"/>
    <w:rsid w:val="0039604A"/>
    <w:rsid w:val="003A01C0"/>
    <w:rsid w:val="003A0FC8"/>
    <w:rsid w:val="003A18C5"/>
    <w:rsid w:val="003A33DC"/>
    <w:rsid w:val="003A4A43"/>
    <w:rsid w:val="003A7744"/>
    <w:rsid w:val="003B0F8B"/>
    <w:rsid w:val="003B100E"/>
    <w:rsid w:val="003B2287"/>
    <w:rsid w:val="003B2546"/>
    <w:rsid w:val="003B47EF"/>
    <w:rsid w:val="003B4A18"/>
    <w:rsid w:val="003B4F5B"/>
    <w:rsid w:val="003B541C"/>
    <w:rsid w:val="003B5F31"/>
    <w:rsid w:val="003C3567"/>
    <w:rsid w:val="003C3B49"/>
    <w:rsid w:val="003C3C77"/>
    <w:rsid w:val="003C4135"/>
    <w:rsid w:val="003C5939"/>
    <w:rsid w:val="003C665F"/>
    <w:rsid w:val="003C722A"/>
    <w:rsid w:val="003C78D4"/>
    <w:rsid w:val="003D1E79"/>
    <w:rsid w:val="003D2BC6"/>
    <w:rsid w:val="003D2C80"/>
    <w:rsid w:val="003D5ECB"/>
    <w:rsid w:val="003E1AE0"/>
    <w:rsid w:val="003E24A2"/>
    <w:rsid w:val="003E3B39"/>
    <w:rsid w:val="003E3FB6"/>
    <w:rsid w:val="003E40FC"/>
    <w:rsid w:val="003E4155"/>
    <w:rsid w:val="003E57C5"/>
    <w:rsid w:val="003E5EC4"/>
    <w:rsid w:val="003F25EB"/>
    <w:rsid w:val="003F516A"/>
    <w:rsid w:val="003F5841"/>
    <w:rsid w:val="003F63F1"/>
    <w:rsid w:val="003F696D"/>
    <w:rsid w:val="004009B3"/>
    <w:rsid w:val="004009C5"/>
    <w:rsid w:val="004010D3"/>
    <w:rsid w:val="004016F5"/>
    <w:rsid w:val="00402891"/>
    <w:rsid w:val="00405BEB"/>
    <w:rsid w:val="00405D6A"/>
    <w:rsid w:val="004075DD"/>
    <w:rsid w:val="004078B1"/>
    <w:rsid w:val="00407FE8"/>
    <w:rsid w:val="00411AC3"/>
    <w:rsid w:val="0041329B"/>
    <w:rsid w:val="00414122"/>
    <w:rsid w:val="00415FAF"/>
    <w:rsid w:val="00416B26"/>
    <w:rsid w:val="00420EA9"/>
    <w:rsid w:val="00421497"/>
    <w:rsid w:val="00423BBD"/>
    <w:rsid w:val="00424BD8"/>
    <w:rsid w:val="004250A9"/>
    <w:rsid w:val="00426057"/>
    <w:rsid w:val="00430007"/>
    <w:rsid w:val="00430A76"/>
    <w:rsid w:val="00430B21"/>
    <w:rsid w:val="0043223B"/>
    <w:rsid w:val="00436172"/>
    <w:rsid w:val="00436D94"/>
    <w:rsid w:val="00441402"/>
    <w:rsid w:val="00441DE2"/>
    <w:rsid w:val="004441CB"/>
    <w:rsid w:val="0044475E"/>
    <w:rsid w:val="004453F6"/>
    <w:rsid w:val="004510D4"/>
    <w:rsid w:val="00452898"/>
    <w:rsid w:val="00455C98"/>
    <w:rsid w:val="00460308"/>
    <w:rsid w:val="00463C33"/>
    <w:rsid w:val="00465F93"/>
    <w:rsid w:val="0047110B"/>
    <w:rsid w:val="004759A2"/>
    <w:rsid w:val="00475EE9"/>
    <w:rsid w:val="00477AB1"/>
    <w:rsid w:val="00480D6F"/>
    <w:rsid w:val="00481CBB"/>
    <w:rsid w:val="004829DB"/>
    <w:rsid w:val="00483FC8"/>
    <w:rsid w:val="00484473"/>
    <w:rsid w:val="00486680"/>
    <w:rsid w:val="00486E69"/>
    <w:rsid w:val="00493218"/>
    <w:rsid w:val="004959CF"/>
    <w:rsid w:val="00497D4B"/>
    <w:rsid w:val="00497F13"/>
    <w:rsid w:val="004A039F"/>
    <w:rsid w:val="004A0F2E"/>
    <w:rsid w:val="004A64E1"/>
    <w:rsid w:val="004B0E3E"/>
    <w:rsid w:val="004B1F47"/>
    <w:rsid w:val="004B332B"/>
    <w:rsid w:val="004C0C7B"/>
    <w:rsid w:val="004C1714"/>
    <w:rsid w:val="004C18F6"/>
    <w:rsid w:val="004C1B78"/>
    <w:rsid w:val="004C34BC"/>
    <w:rsid w:val="004C4441"/>
    <w:rsid w:val="004C6EC0"/>
    <w:rsid w:val="004D04E2"/>
    <w:rsid w:val="004D160A"/>
    <w:rsid w:val="004D2D6F"/>
    <w:rsid w:val="004D56CF"/>
    <w:rsid w:val="004D59EE"/>
    <w:rsid w:val="004D6659"/>
    <w:rsid w:val="004E099C"/>
    <w:rsid w:val="004E1447"/>
    <w:rsid w:val="004E2690"/>
    <w:rsid w:val="004E382B"/>
    <w:rsid w:val="004E6C2B"/>
    <w:rsid w:val="004E77D7"/>
    <w:rsid w:val="004F0667"/>
    <w:rsid w:val="004F3BF4"/>
    <w:rsid w:val="004F503C"/>
    <w:rsid w:val="004F73F5"/>
    <w:rsid w:val="00500514"/>
    <w:rsid w:val="005033D8"/>
    <w:rsid w:val="005035C6"/>
    <w:rsid w:val="005040E4"/>
    <w:rsid w:val="005052D1"/>
    <w:rsid w:val="00510153"/>
    <w:rsid w:val="005127DF"/>
    <w:rsid w:val="00512F6F"/>
    <w:rsid w:val="005133B0"/>
    <w:rsid w:val="005134A2"/>
    <w:rsid w:val="00513EBE"/>
    <w:rsid w:val="0051551A"/>
    <w:rsid w:val="00515CF0"/>
    <w:rsid w:val="005165B2"/>
    <w:rsid w:val="00521B48"/>
    <w:rsid w:val="00525144"/>
    <w:rsid w:val="005269EA"/>
    <w:rsid w:val="00530AD9"/>
    <w:rsid w:val="00533C70"/>
    <w:rsid w:val="0053443D"/>
    <w:rsid w:val="0053496F"/>
    <w:rsid w:val="005377AE"/>
    <w:rsid w:val="00537804"/>
    <w:rsid w:val="00537910"/>
    <w:rsid w:val="00540D67"/>
    <w:rsid w:val="005417A4"/>
    <w:rsid w:val="00542D65"/>
    <w:rsid w:val="00544CB1"/>
    <w:rsid w:val="00545887"/>
    <w:rsid w:val="00545B5F"/>
    <w:rsid w:val="00547220"/>
    <w:rsid w:val="005509C9"/>
    <w:rsid w:val="005518AD"/>
    <w:rsid w:val="005536B8"/>
    <w:rsid w:val="00553826"/>
    <w:rsid w:val="00560697"/>
    <w:rsid w:val="0056292D"/>
    <w:rsid w:val="00562995"/>
    <w:rsid w:val="00565206"/>
    <w:rsid w:val="00565424"/>
    <w:rsid w:val="00565BEE"/>
    <w:rsid w:val="0056771A"/>
    <w:rsid w:val="005704BB"/>
    <w:rsid w:val="00574224"/>
    <w:rsid w:val="0057443D"/>
    <w:rsid w:val="0057463B"/>
    <w:rsid w:val="005752E2"/>
    <w:rsid w:val="00583822"/>
    <w:rsid w:val="00583B28"/>
    <w:rsid w:val="00585A74"/>
    <w:rsid w:val="00585FA3"/>
    <w:rsid w:val="00590B65"/>
    <w:rsid w:val="00591EAF"/>
    <w:rsid w:val="00593BC1"/>
    <w:rsid w:val="00594DEF"/>
    <w:rsid w:val="00595361"/>
    <w:rsid w:val="0059562F"/>
    <w:rsid w:val="005978EC"/>
    <w:rsid w:val="005A2D00"/>
    <w:rsid w:val="005A2F7D"/>
    <w:rsid w:val="005A5A2D"/>
    <w:rsid w:val="005A64A9"/>
    <w:rsid w:val="005A6997"/>
    <w:rsid w:val="005B073A"/>
    <w:rsid w:val="005B0C38"/>
    <w:rsid w:val="005B0FD7"/>
    <w:rsid w:val="005B183F"/>
    <w:rsid w:val="005B21C7"/>
    <w:rsid w:val="005B5119"/>
    <w:rsid w:val="005B6156"/>
    <w:rsid w:val="005C0957"/>
    <w:rsid w:val="005C2744"/>
    <w:rsid w:val="005C2CE1"/>
    <w:rsid w:val="005C3791"/>
    <w:rsid w:val="005C486F"/>
    <w:rsid w:val="005C4D28"/>
    <w:rsid w:val="005C5E4D"/>
    <w:rsid w:val="005C6B25"/>
    <w:rsid w:val="005C7D71"/>
    <w:rsid w:val="005D2F05"/>
    <w:rsid w:val="005D42A2"/>
    <w:rsid w:val="005D52AA"/>
    <w:rsid w:val="005D6BA6"/>
    <w:rsid w:val="005D70AE"/>
    <w:rsid w:val="005E23DD"/>
    <w:rsid w:val="005E2DE0"/>
    <w:rsid w:val="005E47D4"/>
    <w:rsid w:val="005E7FD1"/>
    <w:rsid w:val="005F01CE"/>
    <w:rsid w:val="005F04D0"/>
    <w:rsid w:val="005F0693"/>
    <w:rsid w:val="005F0B53"/>
    <w:rsid w:val="005F193B"/>
    <w:rsid w:val="005F23E6"/>
    <w:rsid w:val="005F3631"/>
    <w:rsid w:val="005F3D05"/>
    <w:rsid w:val="005F5542"/>
    <w:rsid w:val="005F5BA4"/>
    <w:rsid w:val="0060036F"/>
    <w:rsid w:val="0060087F"/>
    <w:rsid w:val="006008C6"/>
    <w:rsid w:val="00602B1E"/>
    <w:rsid w:val="006041E9"/>
    <w:rsid w:val="00605B81"/>
    <w:rsid w:val="006067CB"/>
    <w:rsid w:val="006071B6"/>
    <w:rsid w:val="00610FC5"/>
    <w:rsid w:val="00615315"/>
    <w:rsid w:val="0062010A"/>
    <w:rsid w:val="00620D59"/>
    <w:rsid w:val="00621D70"/>
    <w:rsid w:val="00624018"/>
    <w:rsid w:val="0062412D"/>
    <w:rsid w:val="00625CE4"/>
    <w:rsid w:val="00625F28"/>
    <w:rsid w:val="0062687A"/>
    <w:rsid w:val="00627346"/>
    <w:rsid w:val="00633848"/>
    <w:rsid w:val="00635786"/>
    <w:rsid w:val="00635F9E"/>
    <w:rsid w:val="006379CF"/>
    <w:rsid w:val="006406FC"/>
    <w:rsid w:val="00640DE7"/>
    <w:rsid w:val="00641F22"/>
    <w:rsid w:val="006427A5"/>
    <w:rsid w:val="006439FD"/>
    <w:rsid w:val="00645B2C"/>
    <w:rsid w:val="00645C88"/>
    <w:rsid w:val="006524FA"/>
    <w:rsid w:val="006536AD"/>
    <w:rsid w:val="006557C1"/>
    <w:rsid w:val="00656D26"/>
    <w:rsid w:val="006606F8"/>
    <w:rsid w:val="006611A6"/>
    <w:rsid w:val="006624DA"/>
    <w:rsid w:val="0066291A"/>
    <w:rsid w:val="00662EDF"/>
    <w:rsid w:val="0066363F"/>
    <w:rsid w:val="0066784E"/>
    <w:rsid w:val="00671CF3"/>
    <w:rsid w:val="0067309F"/>
    <w:rsid w:val="00676097"/>
    <w:rsid w:val="0067628C"/>
    <w:rsid w:val="00680A99"/>
    <w:rsid w:val="006814B0"/>
    <w:rsid w:val="00681E5B"/>
    <w:rsid w:val="00682145"/>
    <w:rsid w:val="006823B9"/>
    <w:rsid w:val="00684615"/>
    <w:rsid w:val="0068477E"/>
    <w:rsid w:val="00685629"/>
    <w:rsid w:val="00686470"/>
    <w:rsid w:val="00691DF4"/>
    <w:rsid w:val="00692023"/>
    <w:rsid w:val="00697002"/>
    <w:rsid w:val="006A1D0E"/>
    <w:rsid w:val="006A1D15"/>
    <w:rsid w:val="006A1F3D"/>
    <w:rsid w:val="006A6906"/>
    <w:rsid w:val="006A77C6"/>
    <w:rsid w:val="006B011A"/>
    <w:rsid w:val="006B4338"/>
    <w:rsid w:val="006B5519"/>
    <w:rsid w:val="006B6A99"/>
    <w:rsid w:val="006B6CB0"/>
    <w:rsid w:val="006B732D"/>
    <w:rsid w:val="006B7660"/>
    <w:rsid w:val="006B7ECD"/>
    <w:rsid w:val="006C1C7F"/>
    <w:rsid w:val="006C3154"/>
    <w:rsid w:val="006C43D0"/>
    <w:rsid w:val="006C5656"/>
    <w:rsid w:val="006C6B42"/>
    <w:rsid w:val="006C7E26"/>
    <w:rsid w:val="006D0407"/>
    <w:rsid w:val="006D2A1C"/>
    <w:rsid w:val="006D4800"/>
    <w:rsid w:val="006D4AC9"/>
    <w:rsid w:val="006D515F"/>
    <w:rsid w:val="006D5BCD"/>
    <w:rsid w:val="006D6A91"/>
    <w:rsid w:val="006D77FA"/>
    <w:rsid w:val="006E00F4"/>
    <w:rsid w:val="006E0E28"/>
    <w:rsid w:val="006E1345"/>
    <w:rsid w:val="006E1B75"/>
    <w:rsid w:val="006E223D"/>
    <w:rsid w:val="006E3836"/>
    <w:rsid w:val="006E411E"/>
    <w:rsid w:val="006E5E77"/>
    <w:rsid w:val="006E6284"/>
    <w:rsid w:val="006F5990"/>
    <w:rsid w:val="006F65CE"/>
    <w:rsid w:val="006F7709"/>
    <w:rsid w:val="006F7BC4"/>
    <w:rsid w:val="00700691"/>
    <w:rsid w:val="00701BD1"/>
    <w:rsid w:val="00702C80"/>
    <w:rsid w:val="0070333D"/>
    <w:rsid w:val="00703529"/>
    <w:rsid w:val="0070560A"/>
    <w:rsid w:val="007064A8"/>
    <w:rsid w:val="00706BE8"/>
    <w:rsid w:val="0070711B"/>
    <w:rsid w:val="00707293"/>
    <w:rsid w:val="00710483"/>
    <w:rsid w:val="00710CC6"/>
    <w:rsid w:val="00710FA5"/>
    <w:rsid w:val="00713230"/>
    <w:rsid w:val="00714B9A"/>
    <w:rsid w:val="00716891"/>
    <w:rsid w:val="00720042"/>
    <w:rsid w:val="00723A5B"/>
    <w:rsid w:val="007252BF"/>
    <w:rsid w:val="00726F32"/>
    <w:rsid w:val="007312F0"/>
    <w:rsid w:val="00732AAE"/>
    <w:rsid w:val="00733C8F"/>
    <w:rsid w:val="00734C08"/>
    <w:rsid w:val="00734D5E"/>
    <w:rsid w:val="0073562F"/>
    <w:rsid w:val="007429A5"/>
    <w:rsid w:val="00742CD1"/>
    <w:rsid w:val="0074564B"/>
    <w:rsid w:val="00747EE5"/>
    <w:rsid w:val="00751FBA"/>
    <w:rsid w:val="00752969"/>
    <w:rsid w:val="0075373D"/>
    <w:rsid w:val="00753A74"/>
    <w:rsid w:val="00755E9F"/>
    <w:rsid w:val="007565E1"/>
    <w:rsid w:val="00757465"/>
    <w:rsid w:val="007615D8"/>
    <w:rsid w:val="00762C0C"/>
    <w:rsid w:val="00770DC1"/>
    <w:rsid w:val="00772A6F"/>
    <w:rsid w:val="00774079"/>
    <w:rsid w:val="0077509A"/>
    <w:rsid w:val="007754D8"/>
    <w:rsid w:val="007761F8"/>
    <w:rsid w:val="00777211"/>
    <w:rsid w:val="00777341"/>
    <w:rsid w:val="00777B66"/>
    <w:rsid w:val="00781404"/>
    <w:rsid w:val="00782A09"/>
    <w:rsid w:val="0078368A"/>
    <w:rsid w:val="00784A33"/>
    <w:rsid w:val="007873EA"/>
    <w:rsid w:val="00791AEC"/>
    <w:rsid w:val="00791B93"/>
    <w:rsid w:val="0079529D"/>
    <w:rsid w:val="007A180E"/>
    <w:rsid w:val="007A1F48"/>
    <w:rsid w:val="007A23B6"/>
    <w:rsid w:val="007A3DB2"/>
    <w:rsid w:val="007A59C7"/>
    <w:rsid w:val="007A6789"/>
    <w:rsid w:val="007A68DC"/>
    <w:rsid w:val="007A7D22"/>
    <w:rsid w:val="007B06CE"/>
    <w:rsid w:val="007B0D4A"/>
    <w:rsid w:val="007B1BC6"/>
    <w:rsid w:val="007B322D"/>
    <w:rsid w:val="007B35A5"/>
    <w:rsid w:val="007B3D57"/>
    <w:rsid w:val="007B43FE"/>
    <w:rsid w:val="007B4917"/>
    <w:rsid w:val="007B5E77"/>
    <w:rsid w:val="007C0B0B"/>
    <w:rsid w:val="007C0EC8"/>
    <w:rsid w:val="007C2208"/>
    <w:rsid w:val="007C5347"/>
    <w:rsid w:val="007C66A9"/>
    <w:rsid w:val="007D1281"/>
    <w:rsid w:val="007D22F1"/>
    <w:rsid w:val="007D2F1B"/>
    <w:rsid w:val="007D4824"/>
    <w:rsid w:val="007D631D"/>
    <w:rsid w:val="007D708F"/>
    <w:rsid w:val="007D7389"/>
    <w:rsid w:val="007D73B7"/>
    <w:rsid w:val="007D7B7E"/>
    <w:rsid w:val="007D7CB6"/>
    <w:rsid w:val="007E0D1F"/>
    <w:rsid w:val="007E1319"/>
    <w:rsid w:val="007E144A"/>
    <w:rsid w:val="007E29D5"/>
    <w:rsid w:val="007E576E"/>
    <w:rsid w:val="007E5A6D"/>
    <w:rsid w:val="007F0690"/>
    <w:rsid w:val="007F18DB"/>
    <w:rsid w:val="007F1BCF"/>
    <w:rsid w:val="007F5F2B"/>
    <w:rsid w:val="007F5F9D"/>
    <w:rsid w:val="008002AA"/>
    <w:rsid w:val="00800361"/>
    <w:rsid w:val="00800D4A"/>
    <w:rsid w:val="00802F49"/>
    <w:rsid w:val="00803E66"/>
    <w:rsid w:val="0080412C"/>
    <w:rsid w:val="00810380"/>
    <w:rsid w:val="00811880"/>
    <w:rsid w:val="008119E4"/>
    <w:rsid w:val="00812B67"/>
    <w:rsid w:val="00813C0E"/>
    <w:rsid w:val="008222B2"/>
    <w:rsid w:val="00823A86"/>
    <w:rsid w:val="0082453E"/>
    <w:rsid w:val="008245CD"/>
    <w:rsid w:val="008249BF"/>
    <w:rsid w:val="00826DE3"/>
    <w:rsid w:val="0083004A"/>
    <w:rsid w:val="008303A0"/>
    <w:rsid w:val="00833781"/>
    <w:rsid w:val="00833AC0"/>
    <w:rsid w:val="0083415F"/>
    <w:rsid w:val="00836211"/>
    <w:rsid w:val="00836AB3"/>
    <w:rsid w:val="00837242"/>
    <w:rsid w:val="0083734C"/>
    <w:rsid w:val="008405F7"/>
    <w:rsid w:val="00841818"/>
    <w:rsid w:val="008420E2"/>
    <w:rsid w:val="00843CAC"/>
    <w:rsid w:val="00845B23"/>
    <w:rsid w:val="00846735"/>
    <w:rsid w:val="008472F8"/>
    <w:rsid w:val="0084778E"/>
    <w:rsid w:val="00847A6D"/>
    <w:rsid w:val="00850421"/>
    <w:rsid w:val="00850FBA"/>
    <w:rsid w:val="008517E9"/>
    <w:rsid w:val="0085278B"/>
    <w:rsid w:val="00853984"/>
    <w:rsid w:val="008545C4"/>
    <w:rsid w:val="00855B99"/>
    <w:rsid w:val="008605EC"/>
    <w:rsid w:val="00860984"/>
    <w:rsid w:val="00860D35"/>
    <w:rsid w:val="00861F03"/>
    <w:rsid w:val="00862D66"/>
    <w:rsid w:val="00863568"/>
    <w:rsid w:val="00865883"/>
    <w:rsid w:val="00866D89"/>
    <w:rsid w:val="00873B18"/>
    <w:rsid w:val="00874BDF"/>
    <w:rsid w:val="008771BF"/>
    <w:rsid w:val="008800B3"/>
    <w:rsid w:val="00881CDE"/>
    <w:rsid w:val="00883799"/>
    <w:rsid w:val="00883B40"/>
    <w:rsid w:val="0088569E"/>
    <w:rsid w:val="008910E1"/>
    <w:rsid w:val="00891CF6"/>
    <w:rsid w:val="008929B0"/>
    <w:rsid w:val="00892F5E"/>
    <w:rsid w:val="00894404"/>
    <w:rsid w:val="00894B9C"/>
    <w:rsid w:val="00895081"/>
    <w:rsid w:val="00895235"/>
    <w:rsid w:val="00895862"/>
    <w:rsid w:val="00896852"/>
    <w:rsid w:val="008A107E"/>
    <w:rsid w:val="008A3181"/>
    <w:rsid w:val="008A3529"/>
    <w:rsid w:val="008A412D"/>
    <w:rsid w:val="008A697D"/>
    <w:rsid w:val="008A7103"/>
    <w:rsid w:val="008A7578"/>
    <w:rsid w:val="008B014F"/>
    <w:rsid w:val="008B2434"/>
    <w:rsid w:val="008B2583"/>
    <w:rsid w:val="008B39B3"/>
    <w:rsid w:val="008B4344"/>
    <w:rsid w:val="008B4B2F"/>
    <w:rsid w:val="008B5A82"/>
    <w:rsid w:val="008B75DD"/>
    <w:rsid w:val="008B7F48"/>
    <w:rsid w:val="008C3C4D"/>
    <w:rsid w:val="008C5AF0"/>
    <w:rsid w:val="008C6C65"/>
    <w:rsid w:val="008D0B48"/>
    <w:rsid w:val="008D0E84"/>
    <w:rsid w:val="008D2BB6"/>
    <w:rsid w:val="008D3CF0"/>
    <w:rsid w:val="008D4931"/>
    <w:rsid w:val="008D504A"/>
    <w:rsid w:val="008D7BBF"/>
    <w:rsid w:val="008E05CB"/>
    <w:rsid w:val="008E1B41"/>
    <w:rsid w:val="008E2606"/>
    <w:rsid w:val="008E4F4B"/>
    <w:rsid w:val="008E5083"/>
    <w:rsid w:val="008E5672"/>
    <w:rsid w:val="008E6662"/>
    <w:rsid w:val="008F2121"/>
    <w:rsid w:val="008F222A"/>
    <w:rsid w:val="008F345E"/>
    <w:rsid w:val="008F3C1D"/>
    <w:rsid w:val="008F4A9C"/>
    <w:rsid w:val="008F4D1F"/>
    <w:rsid w:val="008F5748"/>
    <w:rsid w:val="008F616D"/>
    <w:rsid w:val="008F6776"/>
    <w:rsid w:val="008F7009"/>
    <w:rsid w:val="008F7E50"/>
    <w:rsid w:val="00900190"/>
    <w:rsid w:val="00904F5C"/>
    <w:rsid w:val="009061F2"/>
    <w:rsid w:val="0091245F"/>
    <w:rsid w:val="00912FD7"/>
    <w:rsid w:val="009135C8"/>
    <w:rsid w:val="0091421F"/>
    <w:rsid w:val="00915F79"/>
    <w:rsid w:val="00921308"/>
    <w:rsid w:val="0092408B"/>
    <w:rsid w:val="009240F2"/>
    <w:rsid w:val="00924B59"/>
    <w:rsid w:val="0092780F"/>
    <w:rsid w:val="0093010A"/>
    <w:rsid w:val="00930300"/>
    <w:rsid w:val="0093255E"/>
    <w:rsid w:val="00935205"/>
    <w:rsid w:val="0093645E"/>
    <w:rsid w:val="0094047C"/>
    <w:rsid w:val="00940974"/>
    <w:rsid w:val="00941F71"/>
    <w:rsid w:val="009437D9"/>
    <w:rsid w:val="009447E7"/>
    <w:rsid w:val="00944D5F"/>
    <w:rsid w:val="00946D46"/>
    <w:rsid w:val="00951CFF"/>
    <w:rsid w:val="00952DC7"/>
    <w:rsid w:val="00954EA8"/>
    <w:rsid w:val="00955822"/>
    <w:rsid w:val="00955962"/>
    <w:rsid w:val="00956AC1"/>
    <w:rsid w:val="009579BF"/>
    <w:rsid w:val="009605C0"/>
    <w:rsid w:val="009623AF"/>
    <w:rsid w:val="009630EA"/>
    <w:rsid w:val="00963C68"/>
    <w:rsid w:val="00965036"/>
    <w:rsid w:val="00965E6A"/>
    <w:rsid w:val="00970551"/>
    <w:rsid w:val="00970FEA"/>
    <w:rsid w:val="00971A65"/>
    <w:rsid w:val="00971C81"/>
    <w:rsid w:val="00971F8D"/>
    <w:rsid w:val="00973D0F"/>
    <w:rsid w:val="009743F4"/>
    <w:rsid w:val="00974758"/>
    <w:rsid w:val="00976137"/>
    <w:rsid w:val="009766F4"/>
    <w:rsid w:val="00981F2D"/>
    <w:rsid w:val="00984088"/>
    <w:rsid w:val="009858DC"/>
    <w:rsid w:val="009879A2"/>
    <w:rsid w:val="00990553"/>
    <w:rsid w:val="00990C51"/>
    <w:rsid w:val="009926DF"/>
    <w:rsid w:val="00996198"/>
    <w:rsid w:val="00996D81"/>
    <w:rsid w:val="009A1CF5"/>
    <w:rsid w:val="009B3158"/>
    <w:rsid w:val="009B361C"/>
    <w:rsid w:val="009B5702"/>
    <w:rsid w:val="009B65A6"/>
    <w:rsid w:val="009C04AA"/>
    <w:rsid w:val="009C0896"/>
    <w:rsid w:val="009C1F1D"/>
    <w:rsid w:val="009C3B26"/>
    <w:rsid w:val="009C4B69"/>
    <w:rsid w:val="009C6F95"/>
    <w:rsid w:val="009C71BB"/>
    <w:rsid w:val="009D072A"/>
    <w:rsid w:val="009D2093"/>
    <w:rsid w:val="009D2AA4"/>
    <w:rsid w:val="009D3173"/>
    <w:rsid w:val="009D3A70"/>
    <w:rsid w:val="009D765D"/>
    <w:rsid w:val="009D7A63"/>
    <w:rsid w:val="009E0823"/>
    <w:rsid w:val="009E1E5C"/>
    <w:rsid w:val="009E21FA"/>
    <w:rsid w:val="009E4008"/>
    <w:rsid w:val="009E6C73"/>
    <w:rsid w:val="009F14A9"/>
    <w:rsid w:val="009F265D"/>
    <w:rsid w:val="009F3178"/>
    <w:rsid w:val="009F4453"/>
    <w:rsid w:val="009F5C5F"/>
    <w:rsid w:val="009F6D1D"/>
    <w:rsid w:val="00A01DE8"/>
    <w:rsid w:val="00A04016"/>
    <w:rsid w:val="00A05C82"/>
    <w:rsid w:val="00A0752E"/>
    <w:rsid w:val="00A077E8"/>
    <w:rsid w:val="00A10A25"/>
    <w:rsid w:val="00A12AA6"/>
    <w:rsid w:val="00A12F87"/>
    <w:rsid w:val="00A15D57"/>
    <w:rsid w:val="00A2194A"/>
    <w:rsid w:val="00A2208A"/>
    <w:rsid w:val="00A2569E"/>
    <w:rsid w:val="00A25DCF"/>
    <w:rsid w:val="00A2631E"/>
    <w:rsid w:val="00A32AD2"/>
    <w:rsid w:val="00A344DA"/>
    <w:rsid w:val="00A43CD8"/>
    <w:rsid w:val="00A45F33"/>
    <w:rsid w:val="00A4601E"/>
    <w:rsid w:val="00A468B9"/>
    <w:rsid w:val="00A46B5A"/>
    <w:rsid w:val="00A47F27"/>
    <w:rsid w:val="00A50877"/>
    <w:rsid w:val="00A52481"/>
    <w:rsid w:val="00A54D0C"/>
    <w:rsid w:val="00A55B82"/>
    <w:rsid w:val="00A56384"/>
    <w:rsid w:val="00A61C23"/>
    <w:rsid w:val="00A621C0"/>
    <w:rsid w:val="00A63CA8"/>
    <w:rsid w:val="00A64508"/>
    <w:rsid w:val="00A65394"/>
    <w:rsid w:val="00A67CFB"/>
    <w:rsid w:val="00A7247D"/>
    <w:rsid w:val="00A724CE"/>
    <w:rsid w:val="00A727FA"/>
    <w:rsid w:val="00A73A7E"/>
    <w:rsid w:val="00A73CCA"/>
    <w:rsid w:val="00A7739A"/>
    <w:rsid w:val="00A8076B"/>
    <w:rsid w:val="00A823F9"/>
    <w:rsid w:val="00A83F88"/>
    <w:rsid w:val="00A849AE"/>
    <w:rsid w:val="00A87306"/>
    <w:rsid w:val="00A876F8"/>
    <w:rsid w:val="00A87C1C"/>
    <w:rsid w:val="00A87C85"/>
    <w:rsid w:val="00A9099A"/>
    <w:rsid w:val="00A95E8D"/>
    <w:rsid w:val="00A96D66"/>
    <w:rsid w:val="00AA0EF8"/>
    <w:rsid w:val="00AA1C5D"/>
    <w:rsid w:val="00AA2867"/>
    <w:rsid w:val="00AA5FDC"/>
    <w:rsid w:val="00AB14B7"/>
    <w:rsid w:val="00AB28F9"/>
    <w:rsid w:val="00AB6E04"/>
    <w:rsid w:val="00AC2F91"/>
    <w:rsid w:val="00AC31A4"/>
    <w:rsid w:val="00AC456E"/>
    <w:rsid w:val="00AC7DAB"/>
    <w:rsid w:val="00AD1898"/>
    <w:rsid w:val="00AD30BB"/>
    <w:rsid w:val="00AD47E0"/>
    <w:rsid w:val="00AD4A08"/>
    <w:rsid w:val="00AD4CDD"/>
    <w:rsid w:val="00AD6315"/>
    <w:rsid w:val="00AD690D"/>
    <w:rsid w:val="00AD7669"/>
    <w:rsid w:val="00AE069C"/>
    <w:rsid w:val="00AE1DBA"/>
    <w:rsid w:val="00AE327D"/>
    <w:rsid w:val="00AE3C0C"/>
    <w:rsid w:val="00AE44A3"/>
    <w:rsid w:val="00AE4E87"/>
    <w:rsid w:val="00AE6802"/>
    <w:rsid w:val="00AF39F9"/>
    <w:rsid w:val="00AF3EE3"/>
    <w:rsid w:val="00AF4DA6"/>
    <w:rsid w:val="00AF611D"/>
    <w:rsid w:val="00AF66A3"/>
    <w:rsid w:val="00AF67F8"/>
    <w:rsid w:val="00AF7A21"/>
    <w:rsid w:val="00B005E3"/>
    <w:rsid w:val="00B010DF"/>
    <w:rsid w:val="00B02B40"/>
    <w:rsid w:val="00B04D6E"/>
    <w:rsid w:val="00B07A60"/>
    <w:rsid w:val="00B07F4A"/>
    <w:rsid w:val="00B10D2D"/>
    <w:rsid w:val="00B1328A"/>
    <w:rsid w:val="00B141C6"/>
    <w:rsid w:val="00B14F06"/>
    <w:rsid w:val="00B15212"/>
    <w:rsid w:val="00B16CB6"/>
    <w:rsid w:val="00B17C09"/>
    <w:rsid w:val="00B22A15"/>
    <w:rsid w:val="00B23FF4"/>
    <w:rsid w:val="00B25279"/>
    <w:rsid w:val="00B31B43"/>
    <w:rsid w:val="00B33392"/>
    <w:rsid w:val="00B35D40"/>
    <w:rsid w:val="00B37802"/>
    <w:rsid w:val="00B405F1"/>
    <w:rsid w:val="00B42858"/>
    <w:rsid w:val="00B44855"/>
    <w:rsid w:val="00B45999"/>
    <w:rsid w:val="00B50A98"/>
    <w:rsid w:val="00B5562D"/>
    <w:rsid w:val="00B55B31"/>
    <w:rsid w:val="00B55F8C"/>
    <w:rsid w:val="00B5715D"/>
    <w:rsid w:val="00B571DE"/>
    <w:rsid w:val="00B57A43"/>
    <w:rsid w:val="00B60BE8"/>
    <w:rsid w:val="00B6551A"/>
    <w:rsid w:val="00B67C3D"/>
    <w:rsid w:val="00B7443A"/>
    <w:rsid w:val="00B748BC"/>
    <w:rsid w:val="00B760CE"/>
    <w:rsid w:val="00B77354"/>
    <w:rsid w:val="00B77569"/>
    <w:rsid w:val="00B775C8"/>
    <w:rsid w:val="00B819C1"/>
    <w:rsid w:val="00B81FDE"/>
    <w:rsid w:val="00B83A94"/>
    <w:rsid w:val="00B8436F"/>
    <w:rsid w:val="00B84F96"/>
    <w:rsid w:val="00B85D20"/>
    <w:rsid w:val="00B86CD3"/>
    <w:rsid w:val="00B877AF"/>
    <w:rsid w:val="00B90A4E"/>
    <w:rsid w:val="00B91D7C"/>
    <w:rsid w:val="00B91E1D"/>
    <w:rsid w:val="00B92A38"/>
    <w:rsid w:val="00B92A7E"/>
    <w:rsid w:val="00B93124"/>
    <w:rsid w:val="00B9461A"/>
    <w:rsid w:val="00B956C8"/>
    <w:rsid w:val="00B96BAE"/>
    <w:rsid w:val="00BA248E"/>
    <w:rsid w:val="00BA284B"/>
    <w:rsid w:val="00BA2F85"/>
    <w:rsid w:val="00BA4095"/>
    <w:rsid w:val="00BA59BA"/>
    <w:rsid w:val="00BA74BF"/>
    <w:rsid w:val="00BB26E6"/>
    <w:rsid w:val="00BB529D"/>
    <w:rsid w:val="00BB5715"/>
    <w:rsid w:val="00BB5BB3"/>
    <w:rsid w:val="00BC02A2"/>
    <w:rsid w:val="00BC1980"/>
    <w:rsid w:val="00BC1F2A"/>
    <w:rsid w:val="00BC28AE"/>
    <w:rsid w:val="00BC4CAB"/>
    <w:rsid w:val="00BC54EF"/>
    <w:rsid w:val="00BC666A"/>
    <w:rsid w:val="00BD4B16"/>
    <w:rsid w:val="00BD5AE3"/>
    <w:rsid w:val="00BD7269"/>
    <w:rsid w:val="00BD7BCE"/>
    <w:rsid w:val="00BD7F41"/>
    <w:rsid w:val="00BE1C9E"/>
    <w:rsid w:val="00BE2202"/>
    <w:rsid w:val="00BE4C83"/>
    <w:rsid w:val="00BE4FB3"/>
    <w:rsid w:val="00BE6829"/>
    <w:rsid w:val="00BF0D00"/>
    <w:rsid w:val="00BF11BB"/>
    <w:rsid w:val="00BF1EB6"/>
    <w:rsid w:val="00BF2985"/>
    <w:rsid w:val="00BF2D4B"/>
    <w:rsid w:val="00BF3083"/>
    <w:rsid w:val="00BF4C66"/>
    <w:rsid w:val="00BF52E8"/>
    <w:rsid w:val="00BF5E9D"/>
    <w:rsid w:val="00BF72D9"/>
    <w:rsid w:val="00BF7DBF"/>
    <w:rsid w:val="00C02760"/>
    <w:rsid w:val="00C0447B"/>
    <w:rsid w:val="00C04784"/>
    <w:rsid w:val="00C061EA"/>
    <w:rsid w:val="00C070EF"/>
    <w:rsid w:val="00C076FD"/>
    <w:rsid w:val="00C11B60"/>
    <w:rsid w:val="00C12D55"/>
    <w:rsid w:val="00C13F8F"/>
    <w:rsid w:val="00C15063"/>
    <w:rsid w:val="00C15A75"/>
    <w:rsid w:val="00C16ECE"/>
    <w:rsid w:val="00C17DE1"/>
    <w:rsid w:val="00C17FEC"/>
    <w:rsid w:val="00C215E6"/>
    <w:rsid w:val="00C21AA9"/>
    <w:rsid w:val="00C23920"/>
    <w:rsid w:val="00C24294"/>
    <w:rsid w:val="00C24A80"/>
    <w:rsid w:val="00C26E91"/>
    <w:rsid w:val="00C27708"/>
    <w:rsid w:val="00C31360"/>
    <w:rsid w:val="00C31AEE"/>
    <w:rsid w:val="00C32A14"/>
    <w:rsid w:val="00C34A19"/>
    <w:rsid w:val="00C34ED6"/>
    <w:rsid w:val="00C359DE"/>
    <w:rsid w:val="00C412ED"/>
    <w:rsid w:val="00C42820"/>
    <w:rsid w:val="00C4284B"/>
    <w:rsid w:val="00C42D0D"/>
    <w:rsid w:val="00C53097"/>
    <w:rsid w:val="00C578A8"/>
    <w:rsid w:val="00C62A68"/>
    <w:rsid w:val="00C64D75"/>
    <w:rsid w:val="00C65FE4"/>
    <w:rsid w:val="00C67BB9"/>
    <w:rsid w:val="00C70FA4"/>
    <w:rsid w:val="00C71B7B"/>
    <w:rsid w:val="00C7408E"/>
    <w:rsid w:val="00C74331"/>
    <w:rsid w:val="00C753FC"/>
    <w:rsid w:val="00C7784E"/>
    <w:rsid w:val="00C82A54"/>
    <w:rsid w:val="00C82B40"/>
    <w:rsid w:val="00C85C06"/>
    <w:rsid w:val="00C917E3"/>
    <w:rsid w:val="00C91A2B"/>
    <w:rsid w:val="00C93DD2"/>
    <w:rsid w:val="00C94A0A"/>
    <w:rsid w:val="00C95259"/>
    <w:rsid w:val="00C976C1"/>
    <w:rsid w:val="00CA03C5"/>
    <w:rsid w:val="00CA60D2"/>
    <w:rsid w:val="00CA63C9"/>
    <w:rsid w:val="00CA777C"/>
    <w:rsid w:val="00CB0437"/>
    <w:rsid w:val="00CB287E"/>
    <w:rsid w:val="00CB3929"/>
    <w:rsid w:val="00CB5172"/>
    <w:rsid w:val="00CB7226"/>
    <w:rsid w:val="00CC0D5E"/>
    <w:rsid w:val="00CC75E8"/>
    <w:rsid w:val="00CD0492"/>
    <w:rsid w:val="00CD0E0B"/>
    <w:rsid w:val="00CE0EEF"/>
    <w:rsid w:val="00CE18F1"/>
    <w:rsid w:val="00CE2670"/>
    <w:rsid w:val="00CE49B6"/>
    <w:rsid w:val="00CE58DA"/>
    <w:rsid w:val="00CE5B85"/>
    <w:rsid w:val="00CF028E"/>
    <w:rsid w:val="00CF0801"/>
    <w:rsid w:val="00CF4067"/>
    <w:rsid w:val="00CF414C"/>
    <w:rsid w:val="00CF44B6"/>
    <w:rsid w:val="00CF58E5"/>
    <w:rsid w:val="00CF6D57"/>
    <w:rsid w:val="00D01AEE"/>
    <w:rsid w:val="00D0244C"/>
    <w:rsid w:val="00D05676"/>
    <w:rsid w:val="00D068AD"/>
    <w:rsid w:val="00D06FA0"/>
    <w:rsid w:val="00D10579"/>
    <w:rsid w:val="00D12651"/>
    <w:rsid w:val="00D1400A"/>
    <w:rsid w:val="00D169CF"/>
    <w:rsid w:val="00D16FDE"/>
    <w:rsid w:val="00D17432"/>
    <w:rsid w:val="00D20720"/>
    <w:rsid w:val="00D20A51"/>
    <w:rsid w:val="00D2494D"/>
    <w:rsid w:val="00D26568"/>
    <w:rsid w:val="00D26FCF"/>
    <w:rsid w:val="00D368EA"/>
    <w:rsid w:val="00D37145"/>
    <w:rsid w:val="00D371AC"/>
    <w:rsid w:val="00D373C3"/>
    <w:rsid w:val="00D41592"/>
    <w:rsid w:val="00D426FB"/>
    <w:rsid w:val="00D42F78"/>
    <w:rsid w:val="00D46C09"/>
    <w:rsid w:val="00D47F59"/>
    <w:rsid w:val="00D50500"/>
    <w:rsid w:val="00D50642"/>
    <w:rsid w:val="00D51609"/>
    <w:rsid w:val="00D5209E"/>
    <w:rsid w:val="00D531BE"/>
    <w:rsid w:val="00D55419"/>
    <w:rsid w:val="00D5550A"/>
    <w:rsid w:val="00D558CD"/>
    <w:rsid w:val="00D55C99"/>
    <w:rsid w:val="00D560C6"/>
    <w:rsid w:val="00D63CFF"/>
    <w:rsid w:val="00D70E00"/>
    <w:rsid w:val="00D74650"/>
    <w:rsid w:val="00D746A1"/>
    <w:rsid w:val="00D7562C"/>
    <w:rsid w:val="00D75FD9"/>
    <w:rsid w:val="00D762F8"/>
    <w:rsid w:val="00D77648"/>
    <w:rsid w:val="00D801BC"/>
    <w:rsid w:val="00D8118B"/>
    <w:rsid w:val="00D82687"/>
    <w:rsid w:val="00D829A3"/>
    <w:rsid w:val="00D834DF"/>
    <w:rsid w:val="00D8354C"/>
    <w:rsid w:val="00D83D3B"/>
    <w:rsid w:val="00D83F62"/>
    <w:rsid w:val="00D91D39"/>
    <w:rsid w:val="00D949DA"/>
    <w:rsid w:val="00D9666C"/>
    <w:rsid w:val="00D97FA6"/>
    <w:rsid w:val="00DA19D5"/>
    <w:rsid w:val="00DA24A4"/>
    <w:rsid w:val="00DA4698"/>
    <w:rsid w:val="00DA48FD"/>
    <w:rsid w:val="00DB137B"/>
    <w:rsid w:val="00DB2C69"/>
    <w:rsid w:val="00DB2E38"/>
    <w:rsid w:val="00DB5473"/>
    <w:rsid w:val="00DB5782"/>
    <w:rsid w:val="00DB6916"/>
    <w:rsid w:val="00DB6939"/>
    <w:rsid w:val="00DB7620"/>
    <w:rsid w:val="00DC14CE"/>
    <w:rsid w:val="00DC2231"/>
    <w:rsid w:val="00DC50D7"/>
    <w:rsid w:val="00DC5505"/>
    <w:rsid w:val="00DC61B2"/>
    <w:rsid w:val="00DC644D"/>
    <w:rsid w:val="00DC6DFA"/>
    <w:rsid w:val="00DD0BA4"/>
    <w:rsid w:val="00DD1F28"/>
    <w:rsid w:val="00DD2BC4"/>
    <w:rsid w:val="00DD2EF9"/>
    <w:rsid w:val="00DD3A91"/>
    <w:rsid w:val="00DE187B"/>
    <w:rsid w:val="00DE1DF6"/>
    <w:rsid w:val="00DE6B5C"/>
    <w:rsid w:val="00DE7621"/>
    <w:rsid w:val="00DF0BD4"/>
    <w:rsid w:val="00DF394E"/>
    <w:rsid w:val="00DF39CF"/>
    <w:rsid w:val="00DF3D60"/>
    <w:rsid w:val="00DF456D"/>
    <w:rsid w:val="00DF4CF8"/>
    <w:rsid w:val="00DF6C95"/>
    <w:rsid w:val="00DF70DF"/>
    <w:rsid w:val="00E00652"/>
    <w:rsid w:val="00E0135E"/>
    <w:rsid w:val="00E0175A"/>
    <w:rsid w:val="00E01E43"/>
    <w:rsid w:val="00E05540"/>
    <w:rsid w:val="00E07E34"/>
    <w:rsid w:val="00E07F5F"/>
    <w:rsid w:val="00E10A80"/>
    <w:rsid w:val="00E10DA2"/>
    <w:rsid w:val="00E113D4"/>
    <w:rsid w:val="00E12844"/>
    <w:rsid w:val="00E12FB9"/>
    <w:rsid w:val="00E15A33"/>
    <w:rsid w:val="00E20380"/>
    <w:rsid w:val="00E23C40"/>
    <w:rsid w:val="00E240AD"/>
    <w:rsid w:val="00E2576C"/>
    <w:rsid w:val="00E257D1"/>
    <w:rsid w:val="00E30A69"/>
    <w:rsid w:val="00E314B5"/>
    <w:rsid w:val="00E3156C"/>
    <w:rsid w:val="00E32014"/>
    <w:rsid w:val="00E3289B"/>
    <w:rsid w:val="00E32DEF"/>
    <w:rsid w:val="00E32F9B"/>
    <w:rsid w:val="00E33D31"/>
    <w:rsid w:val="00E34746"/>
    <w:rsid w:val="00E35568"/>
    <w:rsid w:val="00E35ABB"/>
    <w:rsid w:val="00E366FE"/>
    <w:rsid w:val="00E410CF"/>
    <w:rsid w:val="00E46874"/>
    <w:rsid w:val="00E46BDF"/>
    <w:rsid w:val="00E51086"/>
    <w:rsid w:val="00E53094"/>
    <w:rsid w:val="00E571CE"/>
    <w:rsid w:val="00E57DCE"/>
    <w:rsid w:val="00E6106B"/>
    <w:rsid w:val="00E62228"/>
    <w:rsid w:val="00E6481D"/>
    <w:rsid w:val="00E71C4B"/>
    <w:rsid w:val="00E71FF2"/>
    <w:rsid w:val="00E73930"/>
    <w:rsid w:val="00E753D8"/>
    <w:rsid w:val="00E75C51"/>
    <w:rsid w:val="00E75D49"/>
    <w:rsid w:val="00E76358"/>
    <w:rsid w:val="00E77AD2"/>
    <w:rsid w:val="00E80C05"/>
    <w:rsid w:val="00E8193D"/>
    <w:rsid w:val="00E821B1"/>
    <w:rsid w:val="00E85009"/>
    <w:rsid w:val="00E8519B"/>
    <w:rsid w:val="00E93560"/>
    <w:rsid w:val="00E94346"/>
    <w:rsid w:val="00E94487"/>
    <w:rsid w:val="00E978B7"/>
    <w:rsid w:val="00E97BD6"/>
    <w:rsid w:val="00EA1296"/>
    <w:rsid w:val="00EA237A"/>
    <w:rsid w:val="00EA29DF"/>
    <w:rsid w:val="00EA2CA7"/>
    <w:rsid w:val="00EA32F1"/>
    <w:rsid w:val="00EA3467"/>
    <w:rsid w:val="00EA4031"/>
    <w:rsid w:val="00EA4240"/>
    <w:rsid w:val="00EB07A9"/>
    <w:rsid w:val="00EB25F2"/>
    <w:rsid w:val="00EB29BF"/>
    <w:rsid w:val="00EB3D0D"/>
    <w:rsid w:val="00EB4161"/>
    <w:rsid w:val="00EB503E"/>
    <w:rsid w:val="00EB5824"/>
    <w:rsid w:val="00EB68F3"/>
    <w:rsid w:val="00EB78B3"/>
    <w:rsid w:val="00EC0ABF"/>
    <w:rsid w:val="00EC1607"/>
    <w:rsid w:val="00EC20EB"/>
    <w:rsid w:val="00EC31FD"/>
    <w:rsid w:val="00EC6951"/>
    <w:rsid w:val="00ED3E4C"/>
    <w:rsid w:val="00ED4FBC"/>
    <w:rsid w:val="00EE3282"/>
    <w:rsid w:val="00EE4292"/>
    <w:rsid w:val="00EE43A4"/>
    <w:rsid w:val="00EE4AB6"/>
    <w:rsid w:val="00EE6525"/>
    <w:rsid w:val="00EE7141"/>
    <w:rsid w:val="00EE7601"/>
    <w:rsid w:val="00EF10A1"/>
    <w:rsid w:val="00EF2465"/>
    <w:rsid w:val="00EF3A50"/>
    <w:rsid w:val="00EF4CBB"/>
    <w:rsid w:val="00EF5E92"/>
    <w:rsid w:val="00F0046B"/>
    <w:rsid w:val="00F02460"/>
    <w:rsid w:val="00F03010"/>
    <w:rsid w:val="00F10952"/>
    <w:rsid w:val="00F120CC"/>
    <w:rsid w:val="00F20866"/>
    <w:rsid w:val="00F23B1D"/>
    <w:rsid w:val="00F24BEE"/>
    <w:rsid w:val="00F2608A"/>
    <w:rsid w:val="00F272FD"/>
    <w:rsid w:val="00F33CD2"/>
    <w:rsid w:val="00F34EEE"/>
    <w:rsid w:val="00F3676E"/>
    <w:rsid w:val="00F367DA"/>
    <w:rsid w:val="00F36E22"/>
    <w:rsid w:val="00F37700"/>
    <w:rsid w:val="00F377C7"/>
    <w:rsid w:val="00F40D21"/>
    <w:rsid w:val="00F42CDC"/>
    <w:rsid w:val="00F435D6"/>
    <w:rsid w:val="00F44A46"/>
    <w:rsid w:val="00F47E69"/>
    <w:rsid w:val="00F501AF"/>
    <w:rsid w:val="00F50479"/>
    <w:rsid w:val="00F53936"/>
    <w:rsid w:val="00F54204"/>
    <w:rsid w:val="00F5422F"/>
    <w:rsid w:val="00F554EF"/>
    <w:rsid w:val="00F55ABE"/>
    <w:rsid w:val="00F601A3"/>
    <w:rsid w:val="00F60BDE"/>
    <w:rsid w:val="00F62B60"/>
    <w:rsid w:val="00F65D0A"/>
    <w:rsid w:val="00F70276"/>
    <w:rsid w:val="00F70ACD"/>
    <w:rsid w:val="00F71687"/>
    <w:rsid w:val="00F72755"/>
    <w:rsid w:val="00F7311B"/>
    <w:rsid w:val="00F738F6"/>
    <w:rsid w:val="00F7488F"/>
    <w:rsid w:val="00F76874"/>
    <w:rsid w:val="00F7706F"/>
    <w:rsid w:val="00F80D6F"/>
    <w:rsid w:val="00F81939"/>
    <w:rsid w:val="00F876EB"/>
    <w:rsid w:val="00F90903"/>
    <w:rsid w:val="00F91DA5"/>
    <w:rsid w:val="00F95340"/>
    <w:rsid w:val="00F9564C"/>
    <w:rsid w:val="00F965F9"/>
    <w:rsid w:val="00F96D84"/>
    <w:rsid w:val="00F97607"/>
    <w:rsid w:val="00FA0811"/>
    <w:rsid w:val="00FA16A5"/>
    <w:rsid w:val="00FA2F77"/>
    <w:rsid w:val="00FA3985"/>
    <w:rsid w:val="00FA41B4"/>
    <w:rsid w:val="00FA4511"/>
    <w:rsid w:val="00FB0A77"/>
    <w:rsid w:val="00FB3356"/>
    <w:rsid w:val="00FB519D"/>
    <w:rsid w:val="00FB69D5"/>
    <w:rsid w:val="00FB6F4A"/>
    <w:rsid w:val="00FB7E91"/>
    <w:rsid w:val="00FC0730"/>
    <w:rsid w:val="00FC129A"/>
    <w:rsid w:val="00FC4309"/>
    <w:rsid w:val="00FC4DD5"/>
    <w:rsid w:val="00FC4F14"/>
    <w:rsid w:val="00FC5710"/>
    <w:rsid w:val="00FC6519"/>
    <w:rsid w:val="00FC6640"/>
    <w:rsid w:val="00FD03A6"/>
    <w:rsid w:val="00FD04DB"/>
    <w:rsid w:val="00FD0746"/>
    <w:rsid w:val="00FD0E35"/>
    <w:rsid w:val="00FD2BCB"/>
    <w:rsid w:val="00FE0F2C"/>
    <w:rsid w:val="00FE16DD"/>
    <w:rsid w:val="00FE2088"/>
    <w:rsid w:val="00FE74CD"/>
    <w:rsid w:val="00FE7AC8"/>
    <w:rsid w:val="00FF0B66"/>
    <w:rsid w:val="00FF0ED4"/>
    <w:rsid w:val="00FF20C2"/>
    <w:rsid w:val="00FF20D1"/>
    <w:rsid w:val="00FF279E"/>
    <w:rsid w:val="00FF5F38"/>
    <w:rsid w:val="00FF622E"/>
    <w:rsid w:val="00FF657C"/>
    <w:rsid w:val="0ED47BA0"/>
    <w:rsid w:val="13432355"/>
    <w:rsid w:val="17554358"/>
    <w:rsid w:val="316B201F"/>
    <w:rsid w:val="39240382"/>
    <w:rsid w:val="439E377F"/>
    <w:rsid w:val="4864216A"/>
    <w:rsid w:val="4AEB44E1"/>
    <w:rsid w:val="4D630721"/>
    <w:rsid w:val="5BF32781"/>
    <w:rsid w:val="630E4191"/>
    <w:rsid w:val="644B572A"/>
    <w:rsid w:val="66D647D4"/>
    <w:rsid w:val="69DB41B1"/>
    <w:rsid w:val="745C0AF6"/>
    <w:rsid w:val="7C81178F"/>
    <w:rsid w:val="7E087EEB"/>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99" w:semiHidden="0" w:name="toc 2"/>
    <w:lsdException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nhideWhenUsed="0" w:uiPriority="99" w:semiHidden="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99" w:semiHidden="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ocked="1"/>
    <w:lsdException w:qFormat="1" w:unhideWhenUsed="0" w:uiPriority="99" w:semiHidden="0" w:name="Strong"/>
    <w:lsdException w:qFormat="1" w:unhideWhenUsed="0" w:uiPriority="0" w:semiHidden="0" w:name="Emphasis" w:locked="1"/>
    <w:lsdException w:qFormat="1" w:unhideWhenUsed="0" w:uiPriority="99"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1"/>
      <w:lang w:val="en-US" w:eastAsia="zh-CN" w:bidi="ar-SA"/>
    </w:rPr>
  </w:style>
  <w:style w:type="paragraph" w:styleId="2">
    <w:name w:val="heading 1"/>
    <w:basedOn w:val="1"/>
    <w:next w:val="1"/>
    <w:link w:val="20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02"/>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203"/>
    <w:qFormat/>
    <w:uiPriority w:val="99"/>
    <w:pPr>
      <w:keepNext/>
      <w:keepLines/>
      <w:spacing w:before="260" w:after="260" w:line="413" w:lineRule="auto"/>
      <w:outlineLvl w:val="2"/>
    </w:pPr>
    <w:rPr>
      <w:b/>
      <w:bCs/>
      <w:sz w:val="32"/>
      <w:szCs w:val="32"/>
    </w:rPr>
  </w:style>
  <w:style w:type="paragraph" w:styleId="5">
    <w:name w:val="heading 4"/>
    <w:basedOn w:val="1"/>
    <w:next w:val="1"/>
    <w:link w:val="204"/>
    <w:qFormat/>
    <w:uiPriority w:val="99"/>
    <w:pPr>
      <w:keepNext/>
      <w:keepLines/>
      <w:spacing w:before="280" w:after="290" w:line="372" w:lineRule="auto"/>
      <w:outlineLvl w:val="3"/>
    </w:pPr>
    <w:rPr>
      <w:rFonts w:ascii="Cambria" w:hAnsi="Cambria"/>
      <w:b/>
      <w:bCs/>
      <w:sz w:val="28"/>
      <w:szCs w:val="28"/>
    </w:rPr>
  </w:style>
  <w:style w:type="paragraph" w:styleId="6">
    <w:name w:val="heading 6"/>
    <w:basedOn w:val="1"/>
    <w:next w:val="1"/>
    <w:link w:val="253"/>
    <w:unhideWhenUsed/>
    <w:qFormat/>
    <w:locked/>
    <w:uiPriority w:val="0"/>
    <w:pPr>
      <w:keepNext/>
      <w:keepLines/>
      <w:spacing w:before="240" w:after="64" w:line="320" w:lineRule="auto"/>
      <w:outlineLvl w:val="5"/>
    </w:pPr>
    <w:rPr>
      <w:rFonts w:ascii="Cambria" w:hAnsi="Cambria" w:cs="黑体"/>
      <w:b/>
      <w:bCs/>
      <w:sz w:val="24"/>
      <w:szCs w:val="24"/>
    </w:rPr>
  </w:style>
  <w:style w:type="character" w:default="1" w:styleId="21">
    <w:name w:val="Default Paragraph Font"/>
    <w:unhideWhenUsed/>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tcPr>
      <w:textDirection w:val="lrTb"/>
    </w:tcPr>
  </w:style>
  <w:style w:type="paragraph" w:styleId="7">
    <w:name w:val="annotation subject"/>
    <w:basedOn w:val="8"/>
    <w:next w:val="8"/>
    <w:link w:val="240"/>
    <w:semiHidden/>
    <w:uiPriority w:val="99"/>
    <w:rPr>
      <w:b/>
      <w:bCs/>
    </w:rPr>
  </w:style>
  <w:style w:type="paragraph" w:styleId="8">
    <w:name w:val="annotation text"/>
    <w:basedOn w:val="1"/>
    <w:link w:val="234"/>
    <w:uiPriority w:val="0"/>
    <w:rPr>
      <w:szCs w:val="20"/>
    </w:rPr>
  </w:style>
  <w:style w:type="paragraph" w:styleId="9">
    <w:name w:val="caption"/>
    <w:basedOn w:val="1"/>
    <w:next w:val="1"/>
    <w:qFormat/>
    <w:uiPriority w:val="99"/>
    <w:rPr>
      <w:rFonts w:ascii="Cambria" w:hAnsi="Cambria" w:eastAsia="黑体" w:cs="黑体"/>
      <w:sz w:val="20"/>
      <w:szCs w:val="20"/>
    </w:rPr>
  </w:style>
  <w:style w:type="paragraph" w:styleId="10">
    <w:name w:val="Document Map"/>
    <w:basedOn w:val="1"/>
    <w:link w:val="250"/>
    <w:semiHidden/>
    <w:qFormat/>
    <w:uiPriority w:val="99"/>
    <w:rPr>
      <w:rFonts w:ascii="宋体"/>
      <w:sz w:val="18"/>
      <w:szCs w:val="18"/>
    </w:rPr>
  </w:style>
  <w:style w:type="paragraph" w:styleId="11">
    <w:name w:val="Body Text"/>
    <w:basedOn w:val="1"/>
    <w:link w:val="233"/>
    <w:uiPriority w:val="99"/>
    <w:pPr>
      <w:spacing w:after="120"/>
    </w:pPr>
    <w:rPr>
      <w:szCs w:val="20"/>
    </w:rPr>
  </w:style>
  <w:style w:type="paragraph" w:styleId="12">
    <w:name w:val="toc 3"/>
    <w:basedOn w:val="1"/>
    <w:next w:val="1"/>
    <w:uiPriority w:val="99"/>
    <w:pPr>
      <w:spacing w:after="100" w:line="276" w:lineRule="auto"/>
      <w:ind w:left="440"/>
    </w:pPr>
    <w:rPr>
      <w:rFonts w:ascii="Calibri" w:hAnsi="Calibri" w:cs="黑体"/>
      <w:kern w:val="0"/>
      <w:sz w:val="22"/>
      <w:szCs w:val="22"/>
    </w:rPr>
  </w:style>
  <w:style w:type="paragraph" w:styleId="13">
    <w:name w:val="Balloon Text"/>
    <w:basedOn w:val="1"/>
    <w:link w:val="236"/>
    <w:uiPriority w:val="99"/>
    <w:rPr>
      <w:sz w:val="18"/>
      <w:szCs w:val="20"/>
    </w:rPr>
  </w:style>
  <w:style w:type="paragraph" w:styleId="14">
    <w:name w:val="footer"/>
    <w:basedOn w:val="1"/>
    <w:link w:val="237"/>
    <w:uiPriority w:val="99"/>
    <w:pPr>
      <w:tabs>
        <w:tab w:val="center" w:pos="4153"/>
        <w:tab w:val="right" w:pos="8306"/>
      </w:tabs>
      <w:snapToGrid w:val="0"/>
    </w:pPr>
    <w:rPr>
      <w:sz w:val="18"/>
      <w:szCs w:val="20"/>
    </w:rPr>
  </w:style>
  <w:style w:type="paragraph" w:styleId="15">
    <w:name w:val="header"/>
    <w:basedOn w:val="1"/>
    <w:link w:val="235"/>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uiPriority w:val="39"/>
  </w:style>
  <w:style w:type="paragraph" w:styleId="17">
    <w:name w:val="footnote text"/>
    <w:basedOn w:val="1"/>
    <w:link w:val="238"/>
    <w:uiPriority w:val="99"/>
    <w:pPr>
      <w:snapToGrid w:val="0"/>
    </w:pPr>
    <w:rPr>
      <w:kern w:val="0"/>
      <w:sz w:val="18"/>
      <w:szCs w:val="20"/>
    </w:rPr>
  </w:style>
  <w:style w:type="paragraph" w:styleId="18">
    <w:name w:val="toc 2"/>
    <w:basedOn w:val="1"/>
    <w:next w:val="1"/>
    <w:uiPriority w:val="99"/>
    <w:pPr>
      <w:ind w:left="420" w:leftChars="200"/>
    </w:pPr>
  </w:style>
  <w:style w:type="paragraph" w:styleId="19">
    <w:name w:val="Normal (Web)"/>
    <w:basedOn w:val="1"/>
    <w:qFormat/>
    <w:uiPriority w:val="99"/>
    <w:pPr>
      <w:spacing w:before="100" w:beforeAutospacing="1" w:after="100" w:afterAutospacing="1"/>
    </w:pPr>
    <w:rPr>
      <w:rFonts w:ascii="宋体" w:hAnsi="宋体" w:cs="宋体"/>
      <w:kern w:val="0"/>
      <w:sz w:val="24"/>
      <w:szCs w:val="24"/>
    </w:rPr>
  </w:style>
  <w:style w:type="paragraph" w:styleId="20">
    <w:name w:val="Title"/>
    <w:basedOn w:val="1"/>
    <w:next w:val="1"/>
    <w:link w:val="239"/>
    <w:qFormat/>
    <w:uiPriority w:val="99"/>
    <w:pPr>
      <w:widowControl w:val="0"/>
      <w:spacing w:before="240" w:after="60"/>
      <w:jc w:val="center"/>
      <w:outlineLvl w:val="0"/>
    </w:pPr>
    <w:rPr>
      <w:rFonts w:ascii="Cambria" w:hAnsi="Cambria"/>
      <w:b/>
      <w:kern w:val="0"/>
      <w:sz w:val="32"/>
      <w:szCs w:val="20"/>
    </w:rPr>
  </w:style>
  <w:style w:type="character" w:styleId="22">
    <w:name w:val="Strong"/>
    <w:basedOn w:val="21"/>
    <w:qFormat/>
    <w:uiPriority w:val="99"/>
    <w:rPr>
      <w:rFonts w:cs="Times New Roman"/>
      <w:b/>
    </w:rPr>
  </w:style>
  <w:style w:type="character" w:styleId="23">
    <w:name w:val="Hyperlink"/>
    <w:basedOn w:val="21"/>
    <w:uiPriority w:val="99"/>
    <w:rPr>
      <w:rFonts w:cs="Times New Roman"/>
      <w:color w:val="000000"/>
      <w:u w:val="none"/>
    </w:rPr>
  </w:style>
  <w:style w:type="character" w:styleId="24">
    <w:name w:val="annotation reference"/>
    <w:basedOn w:val="21"/>
    <w:semiHidden/>
    <w:uiPriority w:val="99"/>
    <w:rPr>
      <w:rFonts w:cs="Times New Roman"/>
      <w:sz w:val="21"/>
    </w:rPr>
  </w:style>
  <w:style w:type="character" w:styleId="25">
    <w:name w:val="footnote reference"/>
    <w:basedOn w:val="21"/>
    <w:uiPriority w:val="99"/>
    <w:rPr>
      <w:rFonts w:cs="Times New Roman"/>
      <w:vertAlign w:val="superscript"/>
    </w:rPr>
  </w:style>
  <w:style w:type="table" w:styleId="27">
    <w:name w:val="Table Grid"/>
    <w:basedOn w:val="26"/>
    <w:qFormat/>
    <w:uiPriority w:val="99"/>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批注主题3"/>
    <w:basedOn w:val="8"/>
    <w:next w:val="8"/>
    <w:link w:val="210"/>
    <w:qFormat/>
    <w:uiPriority w:val="99"/>
    <w:rPr>
      <w:b/>
    </w:rPr>
  </w:style>
  <w:style w:type="paragraph" w:customStyle="1" w:styleId="29">
    <w:name w:val="正文首行缩进1"/>
    <w:basedOn w:val="1"/>
    <w:link w:val="211"/>
    <w:qFormat/>
    <w:uiPriority w:val="99"/>
    <w:pPr>
      <w:spacing w:after="120"/>
      <w:ind w:firstLine="200" w:firstLineChars="200"/>
    </w:pPr>
    <w:rPr>
      <w:sz w:val="28"/>
      <w:szCs w:val="20"/>
    </w:rPr>
  </w:style>
  <w:style w:type="paragraph" w:customStyle="1" w:styleId="30">
    <w:name w:val="正文文本缩进3"/>
    <w:basedOn w:val="1"/>
    <w:link w:val="213"/>
    <w:qFormat/>
    <w:uiPriority w:val="99"/>
    <w:pPr>
      <w:ind w:firstLine="420" w:firstLineChars="200"/>
    </w:pPr>
    <w:rPr>
      <w:szCs w:val="20"/>
    </w:rPr>
  </w:style>
  <w:style w:type="paragraph" w:customStyle="1" w:styleId="31">
    <w:name w:val="纯文本1"/>
    <w:basedOn w:val="1"/>
    <w:link w:val="217"/>
    <w:qFormat/>
    <w:uiPriority w:val="99"/>
    <w:rPr>
      <w:rFonts w:ascii="Calibri" w:hAnsi="Calibri"/>
      <w:color w:val="000000"/>
      <w:szCs w:val="20"/>
    </w:rPr>
  </w:style>
  <w:style w:type="paragraph" w:customStyle="1" w:styleId="32">
    <w:name w:val="HTML 预设格式2"/>
    <w:basedOn w:val="1"/>
    <w:link w:val="21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kern w:val="0"/>
      <w:sz w:val="24"/>
      <w:szCs w:val="20"/>
    </w:rPr>
  </w:style>
  <w:style w:type="paragraph" w:customStyle="1" w:styleId="33">
    <w:name w:val="文档结构图1"/>
    <w:basedOn w:val="1"/>
    <w:link w:val="221"/>
    <w:uiPriority w:val="99"/>
    <w:pPr>
      <w:shd w:val="clear" w:color="auto" w:fill="000080"/>
    </w:pPr>
    <w:rPr>
      <w:szCs w:val="20"/>
      <w:shd w:val="clear" w:color="auto" w:fill="000080"/>
    </w:rPr>
  </w:style>
  <w:style w:type="paragraph" w:customStyle="1" w:styleId="34">
    <w:name w:val="xl68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35">
    <w:name w:val="修订4"/>
    <w:uiPriority w:val="99"/>
    <w:rPr>
      <w:rFonts w:ascii="Times New Roman" w:hAnsi="Times New Roman" w:eastAsia="宋体" w:cs="Times New Roman"/>
      <w:kern w:val="2"/>
      <w:sz w:val="21"/>
      <w:szCs w:val="21"/>
      <w:lang w:val="en-US" w:eastAsia="zh-CN" w:bidi="ar-SA"/>
    </w:rPr>
  </w:style>
  <w:style w:type="paragraph" w:customStyle="1" w:styleId="36">
    <w:name w:val="xl63"/>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kern w:val="0"/>
      <w:sz w:val="24"/>
      <w:szCs w:val="24"/>
    </w:rPr>
  </w:style>
  <w:style w:type="paragraph" w:customStyle="1" w:styleId="37">
    <w:name w:val="xl69"/>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pPr>
    <w:rPr>
      <w:rFonts w:ascii="宋体" w:hAnsi="宋体" w:cs="宋体"/>
      <w:kern w:val="0"/>
      <w:sz w:val="24"/>
      <w:szCs w:val="24"/>
    </w:rPr>
  </w:style>
  <w:style w:type="paragraph" w:customStyle="1" w:styleId="38">
    <w:name w:val="列出段落13"/>
    <w:basedOn w:val="1"/>
    <w:uiPriority w:val="99"/>
    <w:pPr>
      <w:widowControl w:val="0"/>
      <w:ind w:firstLine="420" w:firstLineChars="200"/>
      <w:jc w:val="both"/>
    </w:pPr>
    <w:rPr>
      <w:rFonts w:ascii="Calibri" w:hAnsi="Calibri" w:cs="黑体"/>
      <w:szCs w:val="22"/>
    </w:rPr>
  </w:style>
  <w:style w:type="paragraph" w:customStyle="1" w:styleId="39">
    <w:name w:val="批注主题1"/>
    <w:basedOn w:val="8"/>
    <w:next w:val="8"/>
    <w:uiPriority w:val="99"/>
    <w:rPr>
      <w:b/>
      <w:bCs/>
    </w:rPr>
  </w:style>
  <w:style w:type="paragraph" w:customStyle="1" w:styleId="40">
    <w:name w:val="xl82"/>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1A1A1A"/>
      <w:kern w:val="0"/>
      <w:sz w:val="24"/>
      <w:szCs w:val="24"/>
    </w:rPr>
  </w:style>
  <w:style w:type="paragraph" w:customStyle="1" w:styleId="41">
    <w:name w:val="正文文本缩进1"/>
    <w:basedOn w:val="1"/>
    <w:uiPriority w:val="99"/>
    <w:pPr>
      <w:ind w:firstLine="420" w:firstLineChars="200"/>
    </w:pPr>
  </w:style>
  <w:style w:type="paragraph" w:customStyle="1" w:styleId="42">
    <w:name w:val="xl79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rFonts w:ascii="宋体" w:hAnsi="宋体" w:cs="宋体"/>
      <w:kern w:val="0"/>
      <w:sz w:val="24"/>
      <w:szCs w:val="24"/>
    </w:rPr>
  </w:style>
  <w:style w:type="paragraph" w:customStyle="1" w:styleId="43">
    <w:name w:val="xl849239"/>
    <w:basedOn w:val="1"/>
    <w:uiPriority w:val="99"/>
    <w:pPr>
      <w:spacing w:before="100" w:beforeAutospacing="1" w:after="100" w:afterAutospacing="1"/>
      <w:jc w:val="center"/>
      <w:textAlignment w:val="center"/>
    </w:pPr>
    <w:rPr>
      <w:rFonts w:ascii="宋体" w:hAnsi="宋体" w:cs="宋体"/>
      <w:color w:val="000000"/>
      <w:kern w:val="0"/>
      <w:sz w:val="22"/>
      <w:szCs w:val="22"/>
    </w:rPr>
  </w:style>
  <w:style w:type="paragraph" w:customStyle="1" w:styleId="44">
    <w:name w:val="xl899239"/>
    <w:basedOn w:val="1"/>
    <w:uiPriority w:val="99"/>
    <w:pPr>
      <w:shd w:val="clear" w:color="000000" w:fill="FFFFFF"/>
      <w:spacing w:before="100" w:beforeAutospacing="1" w:after="100" w:afterAutospacing="1"/>
      <w:textAlignment w:val="center"/>
    </w:pPr>
    <w:rPr>
      <w:rFonts w:ascii="宋体" w:hAnsi="宋体" w:cs="宋体"/>
      <w:color w:val="000000"/>
      <w:kern w:val="0"/>
      <w:sz w:val="22"/>
      <w:szCs w:val="22"/>
    </w:rPr>
  </w:style>
  <w:style w:type="paragraph" w:customStyle="1" w:styleId="45">
    <w:name w:val="正文1"/>
    <w:uiPriority w:val="99"/>
    <w:pPr>
      <w:jc w:val="both"/>
    </w:pPr>
    <w:rPr>
      <w:rFonts w:ascii="Times New Roman" w:hAnsi="Times New Roman" w:eastAsia="宋体" w:cs="Times New Roman"/>
      <w:kern w:val="2"/>
      <w:sz w:val="21"/>
      <w:szCs w:val="21"/>
      <w:lang w:val="en-US" w:eastAsia="zh-CN" w:bidi="ar-SA"/>
    </w:rPr>
  </w:style>
  <w:style w:type="paragraph" w:customStyle="1" w:styleId="46">
    <w:name w:val="一级条标题"/>
    <w:next w:val="1"/>
    <w:uiPriority w:val="99"/>
    <w:pPr>
      <w:outlineLvl w:val="2"/>
    </w:pPr>
    <w:rPr>
      <w:rFonts w:ascii="Times New Roman" w:hAnsi="Times New Roman" w:eastAsia="黑体" w:cs="Times New Roman"/>
      <w:sz w:val="21"/>
      <w:szCs w:val="21"/>
      <w:lang w:val="en-US" w:eastAsia="zh-CN" w:bidi="ar-SA"/>
    </w:rPr>
  </w:style>
  <w:style w:type="paragraph" w:customStyle="1" w:styleId="47">
    <w:name w:val="TOC 标题3"/>
    <w:basedOn w:val="2"/>
    <w:next w:val="1"/>
    <w:uiPriority w:val="99"/>
    <w:pPr>
      <w:spacing w:before="480" w:after="0" w:line="276" w:lineRule="auto"/>
      <w:outlineLvl w:val="9"/>
    </w:pPr>
    <w:rPr>
      <w:rFonts w:ascii="Cambria" w:hAnsi="Cambria" w:cs="黑体"/>
      <w:color w:val="365F90"/>
      <w:kern w:val="0"/>
      <w:sz w:val="28"/>
      <w:szCs w:val="28"/>
    </w:rPr>
  </w:style>
  <w:style w:type="paragraph" w:customStyle="1" w:styleId="48">
    <w:name w:val="xl103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49">
    <w:name w:val="Char Char Char1 Char"/>
    <w:basedOn w:val="1"/>
    <w:uiPriority w:val="99"/>
  </w:style>
  <w:style w:type="paragraph" w:customStyle="1" w:styleId="50">
    <w:name w:val="xl71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bottom"/>
    </w:pPr>
    <w:rPr>
      <w:kern w:val="0"/>
    </w:rPr>
  </w:style>
  <w:style w:type="paragraph" w:customStyle="1" w:styleId="51">
    <w:name w:val="xl116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52">
    <w:name w:val="修订1"/>
    <w:uiPriority w:val="99"/>
    <w:rPr>
      <w:rFonts w:ascii="Times New Roman" w:hAnsi="Times New Roman" w:eastAsia="宋体" w:cs="Times New Roman"/>
      <w:kern w:val="2"/>
      <w:sz w:val="21"/>
      <w:szCs w:val="21"/>
      <w:lang w:val="en-US" w:eastAsia="zh-CN" w:bidi="ar-SA"/>
    </w:rPr>
  </w:style>
  <w:style w:type="paragraph" w:customStyle="1" w:styleId="53">
    <w:name w:val="font5"/>
    <w:basedOn w:val="1"/>
    <w:uiPriority w:val="99"/>
    <w:pPr>
      <w:spacing w:before="100" w:beforeAutospacing="1" w:after="100" w:afterAutospacing="1"/>
    </w:pPr>
    <w:rPr>
      <w:rFonts w:ascii="宋体" w:hAnsi="宋体" w:cs="宋体"/>
      <w:kern w:val="0"/>
      <w:sz w:val="18"/>
      <w:szCs w:val="18"/>
    </w:rPr>
  </w:style>
  <w:style w:type="paragraph" w:customStyle="1" w:styleId="54">
    <w:name w:val="xl71"/>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55">
    <w:name w:val="font169239"/>
    <w:basedOn w:val="1"/>
    <w:uiPriority w:val="99"/>
    <w:pPr>
      <w:spacing w:before="100" w:beforeAutospacing="1" w:after="100" w:afterAutospacing="1"/>
    </w:pPr>
    <w:rPr>
      <w:rFonts w:ascii="Calibri" w:hAnsi="Calibri" w:cs="宋体"/>
      <w:kern w:val="0"/>
      <w:sz w:val="22"/>
      <w:szCs w:val="22"/>
    </w:rPr>
  </w:style>
  <w:style w:type="paragraph" w:customStyle="1" w:styleId="56">
    <w:name w:val="xl110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57">
    <w:name w:val="xl659239"/>
    <w:basedOn w:val="1"/>
    <w:uiPriority w:val="99"/>
    <w:pPr>
      <w:spacing w:before="100" w:beforeAutospacing="1" w:after="100" w:afterAutospacing="1"/>
      <w:jc w:val="center"/>
      <w:textAlignment w:val="center"/>
    </w:pPr>
    <w:rPr>
      <w:rFonts w:ascii="宋体" w:hAnsi="宋体" w:cs="宋体"/>
      <w:color w:val="000000"/>
      <w:kern w:val="0"/>
      <w:sz w:val="22"/>
      <w:szCs w:val="22"/>
    </w:rPr>
  </w:style>
  <w:style w:type="paragraph" w:customStyle="1" w:styleId="58">
    <w:name w:val="Char Char1 Char Char Char Char"/>
    <w:basedOn w:val="1"/>
    <w:uiPriority w:val="99"/>
    <w:rPr>
      <w:szCs w:val="20"/>
    </w:rPr>
  </w:style>
  <w:style w:type="paragraph" w:customStyle="1" w:styleId="59">
    <w:name w:val="font11"/>
    <w:basedOn w:val="1"/>
    <w:uiPriority w:val="99"/>
    <w:pPr>
      <w:spacing w:before="100" w:beforeAutospacing="1" w:after="100" w:afterAutospacing="1"/>
    </w:pPr>
    <w:rPr>
      <w:kern w:val="0"/>
      <w:sz w:val="22"/>
      <w:szCs w:val="22"/>
    </w:rPr>
  </w:style>
  <w:style w:type="paragraph" w:customStyle="1" w:styleId="60">
    <w:name w:val="批注主题2"/>
    <w:basedOn w:val="8"/>
    <w:next w:val="8"/>
    <w:uiPriority w:val="99"/>
    <w:rPr>
      <w:b/>
      <w:bCs/>
    </w:rPr>
  </w:style>
  <w:style w:type="paragraph" w:customStyle="1" w:styleId="61">
    <w:name w:val="xl1219239"/>
    <w:basedOn w:val="1"/>
    <w:uiPriority w:val="99"/>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62">
    <w:name w:val="xl1069239"/>
    <w:basedOn w:val="1"/>
    <w:uiPriority w:val="99"/>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63">
    <w:name w:val="xl82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rPr>
  </w:style>
  <w:style w:type="paragraph" w:customStyle="1" w:styleId="64">
    <w:name w:val="xl64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65">
    <w:name w:val="TOC 标题2"/>
    <w:basedOn w:val="2"/>
    <w:next w:val="1"/>
    <w:uiPriority w:val="99"/>
    <w:pPr>
      <w:spacing w:before="480" w:after="0" w:line="276" w:lineRule="auto"/>
      <w:outlineLvl w:val="9"/>
    </w:pPr>
    <w:rPr>
      <w:rFonts w:ascii="Cambria" w:hAnsi="Cambria" w:cs="黑体"/>
      <w:color w:val="365F90"/>
      <w:kern w:val="0"/>
      <w:sz w:val="28"/>
      <w:szCs w:val="28"/>
    </w:rPr>
  </w:style>
  <w:style w:type="paragraph" w:customStyle="1" w:styleId="66">
    <w:name w:val="xl105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67">
    <w:name w:val="三级条标题"/>
    <w:basedOn w:val="68"/>
    <w:next w:val="1"/>
    <w:uiPriority w:val="99"/>
    <w:pPr>
      <w:ind w:left="945"/>
      <w:outlineLvl w:val="4"/>
    </w:pPr>
  </w:style>
  <w:style w:type="paragraph" w:customStyle="1" w:styleId="68">
    <w:name w:val="二级条标题"/>
    <w:basedOn w:val="46"/>
    <w:next w:val="1"/>
    <w:uiPriority w:val="99"/>
    <w:pPr>
      <w:ind w:left="706"/>
      <w:outlineLvl w:val="3"/>
    </w:pPr>
  </w:style>
  <w:style w:type="paragraph" w:customStyle="1" w:styleId="69">
    <w:name w:val="xl72"/>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color w:val="FF0000"/>
      <w:kern w:val="0"/>
      <w:sz w:val="24"/>
      <w:szCs w:val="24"/>
    </w:rPr>
  </w:style>
  <w:style w:type="paragraph" w:customStyle="1" w:styleId="70">
    <w:name w:val="TOC 标题4"/>
    <w:basedOn w:val="2"/>
    <w:next w:val="1"/>
    <w:uiPriority w:val="99"/>
    <w:pPr>
      <w:spacing w:before="480" w:after="0" w:line="276" w:lineRule="auto"/>
      <w:outlineLvl w:val="9"/>
    </w:pPr>
    <w:rPr>
      <w:rFonts w:ascii="Cambria" w:hAnsi="Cambria"/>
      <w:color w:val="365F91"/>
      <w:kern w:val="0"/>
      <w:sz w:val="28"/>
      <w:szCs w:val="28"/>
    </w:rPr>
  </w:style>
  <w:style w:type="paragraph" w:customStyle="1" w:styleId="71">
    <w:name w:val="font13"/>
    <w:basedOn w:val="1"/>
    <w:uiPriority w:val="99"/>
    <w:pPr>
      <w:spacing w:before="100" w:beforeAutospacing="1" w:after="100" w:afterAutospacing="1"/>
    </w:pPr>
    <w:rPr>
      <w:rFonts w:ascii="宋体" w:hAnsi="宋体" w:cs="宋体"/>
      <w:kern w:val="0"/>
      <w:sz w:val="22"/>
      <w:szCs w:val="22"/>
    </w:rPr>
  </w:style>
  <w:style w:type="paragraph" w:customStyle="1" w:styleId="72">
    <w:name w:val="HTML 预设格式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customStyle="1" w:styleId="73">
    <w:name w:val="xl73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kern w:val="0"/>
    </w:rPr>
  </w:style>
  <w:style w:type="paragraph" w:customStyle="1" w:styleId="74">
    <w:name w:val="font7"/>
    <w:basedOn w:val="1"/>
    <w:uiPriority w:val="99"/>
    <w:pPr>
      <w:spacing w:before="100" w:beforeAutospacing="1" w:after="100" w:afterAutospacing="1"/>
    </w:pPr>
    <w:rPr>
      <w:rFonts w:ascii="宋体" w:hAnsi="宋体" w:cs="宋体"/>
      <w:color w:val="000000"/>
      <w:kern w:val="0"/>
      <w:sz w:val="22"/>
      <w:szCs w:val="22"/>
    </w:rPr>
  </w:style>
  <w:style w:type="paragraph" w:customStyle="1" w:styleId="75">
    <w:name w:val="xl124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76">
    <w:name w:val="xl80"/>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77">
    <w:name w:val="xl72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rPr>
  </w:style>
  <w:style w:type="paragraph" w:customStyle="1" w:styleId="78">
    <w:name w:val="xl75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79">
    <w:name w:val="xl7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2"/>
      <w:szCs w:val="22"/>
    </w:rPr>
  </w:style>
  <w:style w:type="paragraph" w:customStyle="1" w:styleId="80">
    <w:name w:val="font69239"/>
    <w:basedOn w:val="1"/>
    <w:qFormat/>
    <w:uiPriority w:val="99"/>
    <w:pPr>
      <w:spacing w:before="100" w:beforeAutospacing="1" w:after="100" w:afterAutospacing="1"/>
    </w:pPr>
    <w:rPr>
      <w:rFonts w:ascii="宋体" w:hAnsi="宋体" w:cs="宋体"/>
      <w:kern w:val="0"/>
      <w:sz w:val="22"/>
      <w:szCs w:val="22"/>
    </w:rPr>
  </w:style>
  <w:style w:type="paragraph" w:customStyle="1" w:styleId="81">
    <w:name w:val="xl64"/>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82">
    <w:name w:val="font9"/>
    <w:basedOn w:val="1"/>
    <w:uiPriority w:val="99"/>
    <w:pPr>
      <w:spacing w:before="100" w:beforeAutospacing="1" w:after="100" w:afterAutospacing="1"/>
    </w:pPr>
    <w:rPr>
      <w:rFonts w:ascii="宋体" w:hAnsi="宋体" w:cs="宋体"/>
      <w:color w:val="1A1A1A"/>
      <w:kern w:val="0"/>
      <w:sz w:val="22"/>
      <w:szCs w:val="22"/>
    </w:rPr>
  </w:style>
  <w:style w:type="paragraph" w:customStyle="1" w:styleId="83">
    <w:name w:val="xl959239"/>
    <w:basedOn w:val="1"/>
    <w:uiPriority w:val="99"/>
    <w:pPr>
      <w:spacing w:before="100" w:beforeAutospacing="1" w:after="100" w:afterAutospacing="1"/>
      <w:jc w:val="center"/>
      <w:textAlignment w:val="center"/>
    </w:pPr>
    <w:rPr>
      <w:rFonts w:ascii="宋体" w:hAnsi="宋体" w:cs="宋体"/>
      <w:kern w:val="0"/>
      <w:sz w:val="22"/>
      <w:szCs w:val="22"/>
    </w:rPr>
  </w:style>
  <w:style w:type="paragraph" w:customStyle="1" w:styleId="84">
    <w:name w:val="font99239"/>
    <w:basedOn w:val="1"/>
    <w:uiPriority w:val="99"/>
    <w:pPr>
      <w:spacing w:before="100" w:beforeAutospacing="1" w:after="100" w:afterAutospacing="1"/>
    </w:pPr>
    <w:rPr>
      <w:rFonts w:ascii="Calibri" w:hAnsi="Calibri" w:cs="宋体"/>
      <w:kern w:val="0"/>
    </w:rPr>
  </w:style>
  <w:style w:type="paragraph" w:customStyle="1" w:styleId="85">
    <w:name w:val="font89239"/>
    <w:basedOn w:val="1"/>
    <w:uiPriority w:val="99"/>
    <w:pPr>
      <w:spacing w:before="100" w:beforeAutospacing="1" w:after="100" w:afterAutospacing="1"/>
    </w:pPr>
    <w:rPr>
      <w:rFonts w:ascii="宋体" w:hAnsi="宋体" w:cs="宋体"/>
      <w:kern w:val="0"/>
      <w:sz w:val="22"/>
      <w:szCs w:val="22"/>
    </w:rPr>
  </w:style>
  <w:style w:type="paragraph" w:customStyle="1" w:styleId="86">
    <w:name w:val="普通(网站)1"/>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87">
    <w:name w:val="font179239"/>
    <w:basedOn w:val="1"/>
    <w:uiPriority w:val="99"/>
    <w:pPr>
      <w:spacing w:before="100" w:beforeAutospacing="1" w:after="100" w:afterAutospacing="1"/>
    </w:pPr>
    <w:rPr>
      <w:kern w:val="0"/>
      <w:sz w:val="24"/>
      <w:szCs w:val="24"/>
    </w:rPr>
  </w:style>
  <w:style w:type="paragraph" w:customStyle="1" w:styleId="88">
    <w:name w:val="xl77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89">
    <w:name w:val="xl78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90">
    <w:name w:val="xl112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91">
    <w:name w:val="xl90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92">
    <w:name w:val="font10"/>
    <w:basedOn w:val="1"/>
    <w:uiPriority w:val="99"/>
    <w:pPr>
      <w:spacing w:before="100" w:beforeAutospacing="1" w:after="100" w:afterAutospacing="1"/>
    </w:pPr>
    <w:rPr>
      <w:color w:val="000000"/>
      <w:kern w:val="0"/>
      <w:sz w:val="22"/>
      <w:szCs w:val="22"/>
    </w:rPr>
  </w:style>
  <w:style w:type="paragraph" w:customStyle="1" w:styleId="93">
    <w:name w:val="规划正文"/>
    <w:basedOn w:val="1"/>
    <w:uiPriority w:val="99"/>
    <w:pPr>
      <w:ind w:firstLine="390" w:firstLineChars="200"/>
    </w:pPr>
    <w:rPr>
      <w:rFonts w:eastAsia="仿宋_GB2312"/>
      <w:sz w:val="32"/>
      <w:szCs w:val="32"/>
    </w:rPr>
  </w:style>
  <w:style w:type="paragraph" w:customStyle="1" w:styleId="94">
    <w:name w:val="xl989239"/>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95">
    <w:name w:val="xl74"/>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top"/>
    </w:pPr>
    <w:rPr>
      <w:rFonts w:ascii="宋体" w:hAnsi="宋体" w:cs="宋体"/>
      <w:color w:val="1A1A1A"/>
      <w:kern w:val="0"/>
      <w:sz w:val="24"/>
      <w:szCs w:val="24"/>
    </w:rPr>
  </w:style>
  <w:style w:type="paragraph" w:customStyle="1" w:styleId="96">
    <w:name w:val="列出段落1"/>
    <w:basedOn w:val="1"/>
    <w:qFormat/>
    <w:uiPriority w:val="34"/>
    <w:pPr>
      <w:ind w:firstLine="420" w:firstLineChars="200"/>
    </w:pPr>
  </w:style>
  <w:style w:type="paragraph" w:customStyle="1" w:styleId="97">
    <w:name w:val="font219239"/>
    <w:basedOn w:val="1"/>
    <w:qFormat/>
    <w:uiPriority w:val="99"/>
    <w:pPr>
      <w:spacing w:before="100" w:beforeAutospacing="1" w:after="100" w:afterAutospacing="1"/>
    </w:pPr>
    <w:rPr>
      <w:kern w:val="0"/>
      <w:sz w:val="20"/>
      <w:szCs w:val="20"/>
    </w:rPr>
  </w:style>
  <w:style w:type="paragraph" w:customStyle="1" w:styleId="98">
    <w:name w:val="font119239"/>
    <w:basedOn w:val="1"/>
    <w:qFormat/>
    <w:uiPriority w:val="99"/>
    <w:pPr>
      <w:spacing w:before="100" w:beforeAutospacing="1" w:after="100" w:afterAutospacing="1"/>
    </w:pPr>
    <w:rPr>
      <w:rFonts w:ascii="宋体" w:hAnsi="宋体" w:cs="宋体"/>
      <w:kern w:val="0"/>
      <w:sz w:val="22"/>
      <w:szCs w:val="22"/>
    </w:rPr>
  </w:style>
  <w:style w:type="paragraph" w:customStyle="1" w:styleId="99">
    <w:name w:val="xl67"/>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000000"/>
      <w:kern w:val="0"/>
      <w:sz w:val="24"/>
      <w:szCs w:val="24"/>
    </w:rPr>
  </w:style>
  <w:style w:type="paragraph" w:customStyle="1" w:styleId="100">
    <w:name w:val="正文图标题"/>
    <w:next w:val="1"/>
    <w:qFormat/>
    <w:uiPriority w:val="99"/>
    <w:pPr>
      <w:numPr>
        <w:ilvl w:val="0"/>
        <w:numId w:val="1"/>
      </w:numPr>
      <w:jc w:val="center"/>
    </w:pPr>
    <w:rPr>
      <w:rFonts w:ascii="黑体" w:hAnsi="Times New Roman" w:eastAsia="黑体" w:cs="黑体"/>
      <w:sz w:val="21"/>
      <w:szCs w:val="21"/>
      <w:lang w:val="en-US" w:eastAsia="zh-CN" w:bidi="ar-SA"/>
    </w:rPr>
  </w:style>
  <w:style w:type="paragraph" w:customStyle="1" w:styleId="101">
    <w:name w:val="xl78"/>
    <w:basedOn w:val="1"/>
    <w:qFormat/>
    <w:uiPriority w:val="99"/>
    <w:pPr>
      <w:spacing w:before="100" w:beforeAutospacing="1" w:after="100" w:afterAutospacing="1"/>
    </w:pPr>
    <w:rPr>
      <w:kern w:val="0"/>
      <w:sz w:val="24"/>
      <w:szCs w:val="24"/>
    </w:rPr>
  </w:style>
  <w:style w:type="paragraph" w:customStyle="1" w:styleId="102">
    <w:name w:val="xl79"/>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103">
    <w:name w:val="font6"/>
    <w:basedOn w:val="1"/>
    <w:qFormat/>
    <w:uiPriority w:val="99"/>
    <w:pPr>
      <w:spacing w:before="100" w:beforeAutospacing="1" w:after="100" w:afterAutospacing="1"/>
    </w:pPr>
    <w:rPr>
      <w:rFonts w:ascii="宋体" w:hAnsi="宋体" w:cs="宋体"/>
      <w:color w:val="000000"/>
      <w:kern w:val="0"/>
      <w:sz w:val="22"/>
      <w:szCs w:val="22"/>
    </w:rPr>
  </w:style>
  <w:style w:type="paragraph" w:customStyle="1" w:styleId="104">
    <w:name w:val="列出段落4"/>
    <w:basedOn w:val="1"/>
    <w:qFormat/>
    <w:uiPriority w:val="99"/>
    <w:pPr>
      <w:ind w:firstLine="420" w:firstLineChars="200"/>
    </w:pPr>
  </w:style>
  <w:style w:type="paragraph" w:customStyle="1" w:styleId="105">
    <w:name w:val="xl65"/>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1A1A1A"/>
      <w:kern w:val="0"/>
      <w:sz w:val="24"/>
      <w:szCs w:val="24"/>
    </w:rPr>
  </w:style>
  <w:style w:type="paragraph" w:customStyle="1" w:styleId="106">
    <w:name w:val="xl115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07">
    <w:name w:val="xl939239"/>
    <w:basedOn w:val="1"/>
    <w:qFormat/>
    <w:uiPriority w:val="99"/>
    <w:pPr>
      <w:spacing w:before="100" w:beforeAutospacing="1" w:after="100" w:afterAutospacing="1"/>
      <w:textAlignment w:val="center"/>
    </w:pPr>
    <w:rPr>
      <w:rFonts w:ascii="宋体" w:hAnsi="宋体" w:cs="宋体"/>
      <w:color w:val="00B050"/>
      <w:kern w:val="0"/>
      <w:sz w:val="22"/>
      <w:szCs w:val="22"/>
    </w:rPr>
  </w:style>
  <w:style w:type="paragraph" w:customStyle="1" w:styleId="108">
    <w:name w:val="font129239"/>
    <w:basedOn w:val="1"/>
    <w:uiPriority w:val="99"/>
    <w:pPr>
      <w:spacing w:before="100" w:beforeAutospacing="1" w:after="100" w:afterAutospacing="1"/>
    </w:pPr>
    <w:rPr>
      <w:rFonts w:ascii="宋体" w:hAnsi="宋体" w:cs="宋体"/>
      <w:kern w:val="0"/>
      <w:sz w:val="18"/>
      <w:szCs w:val="18"/>
    </w:rPr>
  </w:style>
  <w:style w:type="paragraph" w:customStyle="1" w:styleId="109">
    <w:name w:val="列出段落7"/>
    <w:basedOn w:val="1"/>
    <w:qFormat/>
    <w:uiPriority w:val="99"/>
    <w:pPr>
      <w:ind w:firstLine="420" w:firstLineChars="200"/>
    </w:pPr>
  </w:style>
  <w:style w:type="paragraph" w:customStyle="1" w:styleId="110">
    <w:name w:val="图表脚注"/>
    <w:next w:val="1"/>
    <w:qFormat/>
    <w:uiPriority w:val="99"/>
    <w:pPr>
      <w:jc w:val="both"/>
    </w:pPr>
    <w:rPr>
      <w:rFonts w:ascii="宋体" w:hAnsi="Times New Roman" w:eastAsia="宋体" w:cs="宋体"/>
      <w:sz w:val="18"/>
      <w:szCs w:val="18"/>
      <w:lang w:val="en-US" w:eastAsia="zh-CN" w:bidi="ar-SA"/>
    </w:rPr>
  </w:style>
  <w:style w:type="paragraph" w:customStyle="1" w:styleId="111">
    <w:name w:val="font8"/>
    <w:basedOn w:val="1"/>
    <w:qFormat/>
    <w:uiPriority w:val="99"/>
    <w:pPr>
      <w:spacing w:before="100" w:beforeAutospacing="1" w:after="100" w:afterAutospacing="1"/>
    </w:pPr>
    <w:rPr>
      <w:rFonts w:ascii="宋体" w:hAnsi="宋体" w:cs="宋体"/>
      <w:b/>
      <w:bCs/>
      <w:color w:val="000000"/>
      <w:kern w:val="0"/>
      <w:sz w:val="22"/>
      <w:szCs w:val="22"/>
    </w:rPr>
  </w:style>
  <w:style w:type="paragraph" w:customStyle="1" w:styleId="112">
    <w:name w:val="正文文本缩进2"/>
    <w:basedOn w:val="1"/>
    <w:qFormat/>
    <w:uiPriority w:val="99"/>
    <w:pPr>
      <w:ind w:firstLine="420" w:firstLineChars="200"/>
    </w:pPr>
  </w:style>
  <w:style w:type="paragraph" w:customStyle="1" w:styleId="113">
    <w:name w:val="xl1119239"/>
    <w:basedOn w:val="1"/>
    <w:qFormat/>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14">
    <w:name w:val="xl104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15">
    <w:name w:val="xl77"/>
    <w:basedOn w:val="1"/>
    <w:qFormat/>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kern w:val="0"/>
      <w:sz w:val="24"/>
      <w:szCs w:val="24"/>
    </w:rPr>
  </w:style>
  <w:style w:type="paragraph" w:customStyle="1" w:styleId="116">
    <w:name w:val="xl1089239"/>
    <w:basedOn w:val="1"/>
    <w:qFormat/>
    <w:uiPriority w:val="99"/>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17">
    <w:name w:val="font149239"/>
    <w:basedOn w:val="1"/>
    <w:qFormat/>
    <w:uiPriority w:val="99"/>
    <w:pPr>
      <w:spacing w:before="100" w:beforeAutospacing="1" w:after="100" w:afterAutospacing="1"/>
    </w:pPr>
    <w:rPr>
      <w:rFonts w:ascii="Arial" w:hAnsi="Arial" w:cs="Arial"/>
      <w:kern w:val="0"/>
      <w:sz w:val="22"/>
      <w:szCs w:val="22"/>
    </w:rPr>
  </w:style>
  <w:style w:type="paragraph" w:customStyle="1" w:styleId="118">
    <w:name w:val="列出段落5"/>
    <w:basedOn w:val="1"/>
    <w:qFormat/>
    <w:uiPriority w:val="99"/>
    <w:pPr>
      <w:ind w:firstLine="420" w:firstLineChars="200"/>
    </w:pPr>
  </w:style>
  <w:style w:type="paragraph" w:customStyle="1" w:styleId="119">
    <w:name w:val="xl979239"/>
    <w:basedOn w:val="1"/>
    <w:qFormat/>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120">
    <w:name w:val="xl73"/>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color w:val="000000"/>
      <w:kern w:val="0"/>
      <w:sz w:val="24"/>
      <w:szCs w:val="24"/>
    </w:rPr>
  </w:style>
  <w:style w:type="paragraph" w:customStyle="1" w:styleId="121">
    <w:name w:val="xl119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22">
    <w:name w:val="xl919239"/>
    <w:basedOn w:val="1"/>
    <w:qFormat/>
    <w:uiPriority w:val="99"/>
    <w:pPr>
      <w:spacing w:before="100" w:beforeAutospacing="1" w:after="100" w:afterAutospacing="1"/>
      <w:textAlignment w:val="center"/>
    </w:pPr>
    <w:rPr>
      <w:rFonts w:ascii="宋体" w:hAnsi="宋体" w:cs="宋体"/>
      <w:kern w:val="0"/>
      <w:sz w:val="22"/>
      <w:szCs w:val="22"/>
    </w:rPr>
  </w:style>
  <w:style w:type="paragraph" w:customStyle="1" w:styleId="123">
    <w:name w:val="xl114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24">
    <w:name w:val="xl68"/>
    <w:basedOn w:val="1"/>
    <w:qFormat/>
    <w:uiPriority w:val="99"/>
    <w:pPr>
      <w:spacing w:before="100" w:beforeAutospacing="1" w:after="100" w:afterAutospacing="1"/>
      <w:textAlignment w:val="center"/>
    </w:pPr>
    <w:rPr>
      <w:rFonts w:ascii="宋体" w:hAnsi="宋体" w:cs="宋体"/>
      <w:kern w:val="0"/>
      <w:sz w:val="24"/>
      <w:szCs w:val="24"/>
    </w:rPr>
  </w:style>
  <w:style w:type="paragraph" w:customStyle="1" w:styleId="125">
    <w:name w:val="列出段落2"/>
    <w:basedOn w:val="1"/>
    <w:qFormat/>
    <w:uiPriority w:val="99"/>
    <w:pPr>
      <w:ind w:firstLine="420" w:firstLineChars="200"/>
    </w:pPr>
  </w:style>
  <w:style w:type="paragraph" w:customStyle="1" w:styleId="126">
    <w:name w:val="font199239"/>
    <w:basedOn w:val="1"/>
    <w:qFormat/>
    <w:uiPriority w:val="99"/>
    <w:pPr>
      <w:spacing w:before="100" w:beforeAutospacing="1" w:after="100" w:afterAutospacing="1"/>
    </w:pPr>
    <w:rPr>
      <w:rFonts w:ascii="Arial" w:hAnsi="Arial" w:cs="Arial"/>
      <w:kern w:val="0"/>
      <w:sz w:val="24"/>
      <w:szCs w:val="24"/>
    </w:rPr>
  </w:style>
  <w:style w:type="paragraph" w:customStyle="1" w:styleId="127">
    <w:name w:val="Char Char Char Char"/>
    <w:basedOn w:val="1"/>
    <w:uiPriority w:val="99"/>
    <w:pPr>
      <w:spacing w:after="160" w:line="360" w:lineRule="auto"/>
    </w:pPr>
    <w:rPr>
      <w:rFonts w:ascii="仿宋_GB2312" w:hAnsi="Verdana" w:eastAsia="仿宋_GB2312" w:cs="仿宋_GB2312"/>
      <w:kern w:val="0"/>
      <w:sz w:val="32"/>
      <w:szCs w:val="32"/>
      <w:lang w:eastAsia="en-US"/>
    </w:rPr>
  </w:style>
  <w:style w:type="paragraph" w:customStyle="1" w:styleId="128">
    <w:name w:val="xl1019239"/>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29">
    <w:name w:val="xl1269239"/>
    <w:basedOn w:val="1"/>
    <w:qFormat/>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30">
    <w:name w:val="font109239"/>
    <w:basedOn w:val="1"/>
    <w:qFormat/>
    <w:uiPriority w:val="99"/>
    <w:pPr>
      <w:spacing w:before="100" w:beforeAutospacing="1" w:after="100" w:afterAutospacing="1"/>
    </w:pPr>
    <w:rPr>
      <w:rFonts w:ascii="宋体" w:hAnsi="宋体" w:cs="宋体"/>
      <w:kern w:val="0"/>
      <w:sz w:val="22"/>
      <w:szCs w:val="22"/>
    </w:rPr>
  </w:style>
  <w:style w:type="paragraph" w:customStyle="1" w:styleId="131">
    <w:name w:val="章标题"/>
    <w:next w:val="1"/>
    <w:qFormat/>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132">
    <w:name w:val="列出段落9"/>
    <w:basedOn w:val="1"/>
    <w:qFormat/>
    <w:uiPriority w:val="99"/>
    <w:pPr>
      <w:ind w:firstLine="420" w:firstLineChars="200"/>
    </w:pPr>
  </w:style>
  <w:style w:type="paragraph" w:customStyle="1" w:styleId="133">
    <w:name w:val="font229239"/>
    <w:basedOn w:val="1"/>
    <w:uiPriority w:val="99"/>
    <w:pPr>
      <w:spacing w:before="100" w:beforeAutospacing="1" w:after="100" w:afterAutospacing="1"/>
    </w:pPr>
    <w:rPr>
      <w:kern w:val="0"/>
      <w:sz w:val="18"/>
      <w:szCs w:val="18"/>
    </w:rPr>
  </w:style>
  <w:style w:type="paragraph" w:customStyle="1" w:styleId="134">
    <w:name w:val="xl889239"/>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35">
    <w:name w:val="列出段落21"/>
    <w:basedOn w:val="1"/>
    <w:qFormat/>
    <w:uiPriority w:val="99"/>
    <w:pPr>
      <w:ind w:firstLine="420" w:firstLineChars="200"/>
    </w:pPr>
  </w:style>
  <w:style w:type="paragraph" w:customStyle="1" w:styleId="136">
    <w:name w:val="xl1029239"/>
    <w:basedOn w:val="1"/>
    <w:qFormat/>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37">
    <w:name w:val="xl929239"/>
    <w:basedOn w:val="1"/>
    <w:qFormat/>
    <w:uiPriority w:val="99"/>
    <w:pPr>
      <w:spacing w:before="100" w:beforeAutospacing="1" w:after="100" w:afterAutospacing="1"/>
      <w:textAlignment w:val="center"/>
    </w:pPr>
    <w:rPr>
      <w:rFonts w:ascii="宋体" w:hAnsi="宋体" w:cs="宋体"/>
      <w:kern w:val="0"/>
      <w:sz w:val="22"/>
      <w:szCs w:val="22"/>
    </w:rPr>
  </w:style>
  <w:style w:type="paragraph" w:customStyle="1" w:styleId="138">
    <w:name w:val="xl1179239"/>
    <w:basedOn w:val="1"/>
    <w:qFormat/>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39">
    <w:name w:val="font79239"/>
    <w:basedOn w:val="1"/>
    <w:qFormat/>
    <w:uiPriority w:val="99"/>
    <w:pPr>
      <w:spacing w:before="100" w:beforeAutospacing="1" w:after="100" w:afterAutospacing="1"/>
    </w:pPr>
    <w:rPr>
      <w:rFonts w:ascii="宋体" w:hAnsi="宋体" w:cs="宋体"/>
      <w:kern w:val="0"/>
    </w:rPr>
  </w:style>
  <w:style w:type="paragraph" w:customStyle="1" w:styleId="140">
    <w:name w:val="xl109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41">
    <w:name w:val="font12"/>
    <w:basedOn w:val="1"/>
    <w:qFormat/>
    <w:uiPriority w:val="99"/>
    <w:pPr>
      <w:spacing w:before="100" w:beforeAutospacing="1" w:after="100" w:afterAutospacing="1"/>
    </w:pPr>
    <w:rPr>
      <w:color w:val="1A1A1A"/>
      <w:kern w:val="0"/>
      <w:sz w:val="22"/>
      <w:szCs w:val="22"/>
    </w:rPr>
  </w:style>
  <w:style w:type="paragraph" w:customStyle="1" w:styleId="142">
    <w:name w:val="font159239"/>
    <w:basedOn w:val="1"/>
    <w:qFormat/>
    <w:uiPriority w:val="99"/>
    <w:pPr>
      <w:spacing w:before="100" w:beforeAutospacing="1" w:after="100" w:afterAutospacing="1"/>
    </w:pPr>
    <w:rPr>
      <w:kern w:val="0"/>
      <w:sz w:val="22"/>
      <w:szCs w:val="22"/>
    </w:rPr>
  </w:style>
  <w:style w:type="paragraph" w:customStyle="1" w:styleId="143">
    <w:name w:val="xl1239239"/>
    <w:basedOn w:val="1"/>
    <w:qFormat/>
    <w:uiPriority w:val="99"/>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144">
    <w:name w:val="xl70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bottom"/>
    </w:pPr>
    <w:rPr>
      <w:rFonts w:ascii="宋体" w:hAnsi="宋体" w:cs="宋体"/>
      <w:kern w:val="0"/>
    </w:rPr>
  </w:style>
  <w:style w:type="paragraph" w:customStyle="1" w:styleId="145">
    <w:name w:val="xl1009239"/>
    <w:basedOn w:val="1"/>
    <w:qFormat/>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46">
    <w:name w:val="xl96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47">
    <w:name w:val="xl75"/>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color w:val="000000"/>
      <w:kern w:val="0"/>
      <w:sz w:val="24"/>
      <w:szCs w:val="24"/>
    </w:rPr>
  </w:style>
  <w:style w:type="paragraph" w:customStyle="1" w:styleId="148">
    <w:name w:val="xl66"/>
    <w:basedOn w:val="1"/>
    <w:qFormat/>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149">
    <w:name w:val="font139239"/>
    <w:basedOn w:val="1"/>
    <w:qFormat/>
    <w:uiPriority w:val="99"/>
    <w:pPr>
      <w:spacing w:before="100" w:beforeAutospacing="1" w:after="100" w:afterAutospacing="1"/>
    </w:pPr>
    <w:rPr>
      <w:rFonts w:ascii="宋体" w:hAnsi="宋体" w:cs="宋体"/>
      <w:kern w:val="0"/>
      <w:sz w:val="20"/>
      <w:szCs w:val="20"/>
    </w:rPr>
  </w:style>
  <w:style w:type="paragraph" w:customStyle="1" w:styleId="150">
    <w:name w:val="xl83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51">
    <w:name w:val="修订3"/>
    <w:qFormat/>
    <w:uiPriority w:val="99"/>
    <w:rPr>
      <w:rFonts w:ascii="Times New Roman" w:hAnsi="Times New Roman" w:eastAsia="宋体" w:cs="Times New Roman"/>
      <w:kern w:val="2"/>
      <w:sz w:val="21"/>
      <w:szCs w:val="21"/>
      <w:lang w:val="en-US" w:eastAsia="zh-CN" w:bidi="ar-SA"/>
    </w:rPr>
  </w:style>
  <w:style w:type="paragraph" w:customStyle="1" w:styleId="152">
    <w:name w:val="列出段落12"/>
    <w:basedOn w:val="1"/>
    <w:qFormat/>
    <w:uiPriority w:val="99"/>
    <w:pPr>
      <w:ind w:firstLine="420" w:firstLineChars="200"/>
    </w:pPr>
    <w:rPr>
      <w:rFonts w:ascii="宋体" w:hAnsi="宋体" w:cs="宋体"/>
      <w:kern w:val="0"/>
      <w:sz w:val="24"/>
      <w:szCs w:val="24"/>
    </w:rPr>
  </w:style>
  <w:style w:type="paragraph" w:customStyle="1" w:styleId="153">
    <w:name w:val="修订11"/>
    <w:qFormat/>
    <w:uiPriority w:val="99"/>
    <w:rPr>
      <w:rFonts w:ascii="Times New Roman" w:hAnsi="Times New Roman" w:eastAsia="宋体" w:cs="Times New Roman"/>
      <w:kern w:val="2"/>
      <w:sz w:val="21"/>
      <w:szCs w:val="21"/>
      <w:lang w:val="en-US" w:eastAsia="zh-CN" w:bidi="ar-SA"/>
    </w:rPr>
  </w:style>
  <w:style w:type="paragraph" w:customStyle="1" w:styleId="154">
    <w:name w:val="TOC 标题1"/>
    <w:basedOn w:val="2"/>
    <w:next w:val="1"/>
    <w:uiPriority w:val="99"/>
    <w:pPr>
      <w:spacing w:before="480" w:after="0" w:line="276" w:lineRule="auto"/>
      <w:outlineLvl w:val="9"/>
    </w:pPr>
    <w:rPr>
      <w:rFonts w:ascii="Cambria" w:hAnsi="Cambria" w:cs="黑体"/>
      <w:color w:val="365F90"/>
      <w:kern w:val="0"/>
      <w:sz w:val="28"/>
      <w:szCs w:val="28"/>
    </w:rPr>
  </w:style>
  <w:style w:type="paragraph" w:customStyle="1" w:styleId="155">
    <w:name w:val="文档结构图11"/>
    <w:basedOn w:val="1"/>
    <w:qFormat/>
    <w:uiPriority w:val="99"/>
    <w:pPr>
      <w:shd w:val="clear" w:color="auto" w:fill="000080"/>
    </w:pPr>
  </w:style>
  <w:style w:type="paragraph" w:customStyle="1" w:styleId="156">
    <w:name w:val="HTML 预设格式2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customStyle="1" w:styleId="157">
    <w:name w:val="default"/>
    <w:basedOn w:val="1"/>
    <w:qFormat/>
    <w:uiPriority w:val="99"/>
    <w:rPr>
      <w:rFonts w:ascii="宋体" w:hAnsi="宋体" w:cs="宋体"/>
      <w:kern w:val="0"/>
      <w:sz w:val="24"/>
      <w:szCs w:val="24"/>
    </w:rPr>
  </w:style>
  <w:style w:type="paragraph" w:customStyle="1" w:styleId="158">
    <w:name w:val="xl80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59">
    <w:name w:val="xl999239"/>
    <w:basedOn w:val="1"/>
    <w:qFormat/>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60">
    <w:name w:val="font189239"/>
    <w:basedOn w:val="1"/>
    <w:qFormat/>
    <w:uiPriority w:val="99"/>
    <w:pPr>
      <w:spacing w:before="100" w:beforeAutospacing="1" w:after="100" w:afterAutospacing="1"/>
    </w:pPr>
    <w:rPr>
      <w:rFonts w:ascii="宋体" w:hAnsi="宋体" w:cs="宋体"/>
      <w:kern w:val="0"/>
      <w:sz w:val="24"/>
      <w:szCs w:val="24"/>
    </w:rPr>
  </w:style>
  <w:style w:type="paragraph" w:customStyle="1" w:styleId="161">
    <w:name w:val="xl113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62">
    <w:name w:val="列出段落10"/>
    <w:basedOn w:val="1"/>
    <w:qFormat/>
    <w:uiPriority w:val="99"/>
    <w:pPr>
      <w:ind w:firstLine="420" w:firstLineChars="200"/>
    </w:pPr>
    <w:rPr>
      <w:rFonts w:ascii="宋体" w:hAnsi="宋体" w:cs="宋体"/>
      <w:kern w:val="0"/>
      <w:sz w:val="24"/>
      <w:szCs w:val="24"/>
    </w:rPr>
  </w:style>
  <w:style w:type="paragraph" w:customStyle="1" w:styleId="163">
    <w:name w:val="列出段落6"/>
    <w:basedOn w:val="1"/>
    <w:qFormat/>
    <w:uiPriority w:val="99"/>
    <w:pPr>
      <w:ind w:firstLine="420" w:firstLineChars="200"/>
    </w:pPr>
  </w:style>
  <w:style w:type="paragraph" w:customStyle="1" w:styleId="164">
    <w:name w:val="xl1079239"/>
    <w:basedOn w:val="1"/>
    <w:qFormat/>
    <w:uiPriority w:val="99"/>
    <w:pPr>
      <w:pBdr>
        <w:left w:val="single" w:color="auto" w:sz="4" w:space="1"/>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65">
    <w:name w:val="font209239"/>
    <w:basedOn w:val="1"/>
    <w:qFormat/>
    <w:uiPriority w:val="99"/>
    <w:pPr>
      <w:spacing w:before="100" w:beforeAutospacing="1" w:after="100" w:afterAutospacing="1"/>
    </w:pPr>
    <w:rPr>
      <w:rFonts w:ascii="Verdana" w:hAnsi="Verdana" w:cs="宋体"/>
      <w:kern w:val="0"/>
      <w:sz w:val="24"/>
      <w:szCs w:val="24"/>
    </w:rPr>
  </w:style>
  <w:style w:type="paragraph" w:customStyle="1" w:styleId="166">
    <w:name w:val="font59239"/>
    <w:basedOn w:val="1"/>
    <w:qFormat/>
    <w:uiPriority w:val="99"/>
    <w:pPr>
      <w:spacing w:before="100" w:beforeAutospacing="1" w:after="100" w:afterAutospacing="1"/>
    </w:pPr>
    <w:rPr>
      <w:rFonts w:ascii="宋体" w:hAnsi="宋体" w:cs="宋体"/>
      <w:kern w:val="0"/>
      <w:sz w:val="18"/>
      <w:szCs w:val="18"/>
    </w:rPr>
  </w:style>
  <w:style w:type="paragraph" w:customStyle="1" w:styleId="167">
    <w:name w:val="xl1229239"/>
    <w:basedOn w:val="1"/>
    <w:qFormat/>
    <w:uiPriority w:val="99"/>
    <w:pPr>
      <w:pBdr>
        <w:left w:val="single" w:color="auto" w:sz="4" w:space="1"/>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168">
    <w:name w:val="xl1259239"/>
    <w:basedOn w:val="1"/>
    <w:qFormat/>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69">
    <w:name w:val="xl81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70">
    <w:name w:val="xl69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71">
    <w:name w:val="列出段落8"/>
    <w:basedOn w:val="1"/>
    <w:qFormat/>
    <w:uiPriority w:val="99"/>
    <w:pPr>
      <w:ind w:firstLine="420" w:firstLineChars="200"/>
    </w:pPr>
  </w:style>
  <w:style w:type="paragraph" w:customStyle="1" w:styleId="172">
    <w:name w:val="xl749239"/>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b/>
      <w:bCs/>
      <w:kern w:val="0"/>
    </w:rPr>
  </w:style>
  <w:style w:type="paragraph" w:customStyle="1" w:styleId="173">
    <w:name w:val="xl81"/>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4"/>
      <w:szCs w:val="24"/>
    </w:rPr>
  </w:style>
  <w:style w:type="paragraph" w:customStyle="1" w:styleId="174">
    <w:name w:val="列出段落71"/>
    <w:basedOn w:val="1"/>
    <w:qFormat/>
    <w:uiPriority w:val="99"/>
    <w:pPr>
      <w:ind w:firstLine="420" w:firstLineChars="200"/>
    </w:pPr>
  </w:style>
  <w:style w:type="paragraph" w:customStyle="1" w:styleId="175">
    <w:name w:val="Char Char1 Char Char Char Char1"/>
    <w:basedOn w:val="1"/>
    <w:uiPriority w:val="99"/>
  </w:style>
  <w:style w:type="paragraph" w:customStyle="1" w:styleId="176">
    <w:name w:val="xl85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77">
    <w:name w:val="xl949239"/>
    <w:basedOn w:val="1"/>
    <w:qFormat/>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178">
    <w:name w:val="xl6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9">
    <w:name w:val="修订2"/>
    <w:uiPriority w:val="99"/>
    <w:rPr>
      <w:rFonts w:ascii="Times New Roman" w:hAnsi="Times New Roman" w:eastAsia="宋体" w:cs="Times New Roman"/>
      <w:kern w:val="2"/>
      <w:sz w:val="21"/>
      <w:szCs w:val="21"/>
      <w:lang w:val="en-US" w:eastAsia="zh-CN" w:bidi="ar-SA"/>
    </w:rPr>
  </w:style>
  <w:style w:type="paragraph" w:customStyle="1" w:styleId="180">
    <w:name w:val="列出段落3"/>
    <w:basedOn w:val="1"/>
    <w:qFormat/>
    <w:uiPriority w:val="99"/>
    <w:pPr>
      <w:ind w:firstLine="420" w:firstLineChars="200"/>
    </w:pPr>
  </w:style>
  <w:style w:type="paragraph" w:customStyle="1" w:styleId="181">
    <w:name w:val="xl879239"/>
    <w:basedOn w:val="1"/>
    <w:uiPriority w:val="99"/>
    <w:pPr>
      <w:pBdr>
        <w:top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82">
    <w:name w:val="xl67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83">
    <w:name w:val="xl76"/>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color w:val="1A1A1A"/>
      <w:kern w:val="0"/>
      <w:sz w:val="24"/>
      <w:szCs w:val="24"/>
    </w:rPr>
  </w:style>
  <w:style w:type="paragraph" w:customStyle="1" w:styleId="184">
    <w:name w:val="xl1209239"/>
    <w:basedOn w:val="1"/>
    <w:qFormat/>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85">
    <w:name w:val="文档结构图2"/>
    <w:basedOn w:val="1"/>
    <w:uiPriority w:val="99"/>
    <w:pPr>
      <w:shd w:val="clear" w:color="auto" w:fill="000080"/>
    </w:pPr>
  </w:style>
  <w:style w:type="paragraph" w:customStyle="1" w:styleId="186">
    <w:name w:val="xl70"/>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FF0000"/>
      <w:kern w:val="0"/>
      <w:sz w:val="24"/>
      <w:szCs w:val="24"/>
    </w:rPr>
  </w:style>
  <w:style w:type="paragraph" w:customStyle="1" w:styleId="187">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8">
    <w:name w:val="text"/>
    <w:basedOn w:val="1"/>
    <w:qFormat/>
    <w:uiPriority w:val="99"/>
    <w:pPr>
      <w:widowControl w:val="0"/>
      <w:spacing w:line="360" w:lineRule="auto"/>
      <w:ind w:firstLine="420"/>
      <w:jc w:val="both"/>
    </w:pPr>
    <w:rPr>
      <w:rFonts w:eastAsia="仿宋_GB2312"/>
      <w:sz w:val="24"/>
      <w:szCs w:val="20"/>
    </w:rPr>
  </w:style>
  <w:style w:type="paragraph" w:customStyle="1" w:styleId="189">
    <w:name w:val="列出段落11"/>
    <w:basedOn w:val="1"/>
    <w:qFormat/>
    <w:uiPriority w:val="99"/>
    <w:pPr>
      <w:ind w:firstLine="420" w:firstLineChars="200"/>
    </w:pPr>
  </w:style>
  <w:style w:type="paragraph" w:customStyle="1" w:styleId="190">
    <w:name w:val="xl118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91">
    <w:name w:val="xl8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92">
    <w:name w:val="列出段落14"/>
    <w:basedOn w:val="1"/>
    <w:qFormat/>
    <w:uiPriority w:val="99"/>
    <w:pPr>
      <w:ind w:firstLine="420" w:firstLineChars="200"/>
    </w:pPr>
    <w:rPr>
      <w:rFonts w:ascii="宋体" w:hAnsi="宋体" w:cs="宋体"/>
      <w:kern w:val="0"/>
      <w:sz w:val="24"/>
      <w:szCs w:val="24"/>
    </w:rPr>
  </w:style>
  <w:style w:type="paragraph" w:customStyle="1" w:styleId="193">
    <w:name w:val="普通(网站)11"/>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94">
    <w:name w:val="纯文本11"/>
    <w:basedOn w:val="1"/>
    <w:uiPriority w:val="99"/>
    <w:rPr>
      <w:rFonts w:ascii="Calibri" w:hAnsi="Calibri" w:cs="Courier New"/>
      <w:color w:val="000000"/>
    </w:rPr>
  </w:style>
  <w:style w:type="paragraph" w:customStyle="1" w:styleId="195">
    <w:name w:val="批注主题31"/>
    <w:basedOn w:val="8"/>
    <w:next w:val="8"/>
    <w:qFormat/>
    <w:uiPriority w:val="99"/>
    <w:rPr>
      <w:rFonts w:ascii="Calibri" w:hAnsi="Calibri"/>
      <w:b/>
      <w:bCs/>
    </w:rPr>
  </w:style>
  <w:style w:type="paragraph" w:customStyle="1" w:styleId="196">
    <w:name w:val="正文首行缩进11"/>
    <w:basedOn w:val="1"/>
    <w:qFormat/>
    <w:uiPriority w:val="99"/>
    <w:pPr>
      <w:spacing w:after="120"/>
      <w:ind w:firstLine="200" w:firstLineChars="200"/>
    </w:pPr>
    <w:rPr>
      <w:rFonts w:ascii="Calibri" w:hAnsi="Calibri"/>
      <w:sz w:val="28"/>
      <w:szCs w:val="28"/>
    </w:rPr>
  </w:style>
  <w:style w:type="paragraph" w:customStyle="1" w:styleId="197">
    <w:name w:val="正文文本缩进31"/>
    <w:basedOn w:val="1"/>
    <w:qFormat/>
    <w:uiPriority w:val="99"/>
    <w:pPr>
      <w:ind w:firstLine="420" w:firstLineChars="200"/>
    </w:pPr>
    <w:rPr>
      <w:rFonts w:ascii="Calibri" w:hAnsi="Calibri"/>
    </w:rPr>
  </w:style>
  <w:style w:type="paragraph" w:customStyle="1" w:styleId="198">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99">
    <w:name w:val="列出段落15"/>
    <w:basedOn w:val="1"/>
    <w:unhideWhenUsed/>
    <w:qFormat/>
    <w:uiPriority w:val="34"/>
    <w:pPr>
      <w:ind w:firstLine="420" w:firstLineChars="200"/>
    </w:pPr>
  </w:style>
  <w:style w:type="paragraph" w:customStyle="1" w:styleId="200">
    <w:name w:val="修订6"/>
    <w:hidden/>
    <w:semiHidden/>
    <w:uiPriority w:val="99"/>
    <w:rPr>
      <w:rFonts w:ascii="Times New Roman" w:hAnsi="Times New Roman" w:eastAsia="宋体" w:cs="Times New Roman"/>
      <w:kern w:val="2"/>
      <w:sz w:val="21"/>
      <w:szCs w:val="21"/>
      <w:lang w:val="en-US" w:eastAsia="zh-CN" w:bidi="ar-SA"/>
    </w:rPr>
  </w:style>
  <w:style w:type="character" w:customStyle="1" w:styleId="201">
    <w:name w:val="标题 1 Char"/>
    <w:basedOn w:val="21"/>
    <w:link w:val="2"/>
    <w:qFormat/>
    <w:locked/>
    <w:uiPriority w:val="99"/>
    <w:rPr>
      <w:b/>
      <w:kern w:val="44"/>
      <w:sz w:val="44"/>
    </w:rPr>
  </w:style>
  <w:style w:type="character" w:customStyle="1" w:styleId="202">
    <w:name w:val="标题 2 Char"/>
    <w:basedOn w:val="21"/>
    <w:link w:val="3"/>
    <w:qFormat/>
    <w:locked/>
    <w:uiPriority w:val="99"/>
    <w:rPr>
      <w:rFonts w:ascii="Arial" w:hAnsi="Arial" w:eastAsia="黑体"/>
      <w:b/>
      <w:kern w:val="2"/>
      <w:sz w:val="21"/>
    </w:rPr>
  </w:style>
  <w:style w:type="character" w:customStyle="1" w:styleId="203">
    <w:name w:val="标题 3 Char"/>
    <w:basedOn w:val="21"/>
    <w:link w:val="4"/>
    <w:qFormat/>
    <w:locked/>
    <w:uiPriority w:val="99"/>
    <w:rPr>
      <w:b/>
      <w:kern w:val="2"/>
      <w:sz w:val="32"/>
    </w:rPr>
  </w:style>
  <w:style w:type="character" w:customStyle="1" w:styleId="204">
    <w:name w:val="标题 4 Char"/>
    <w:basedOn w:val="21"/>
    <w:link w:val="5"/>
    <w:qFormat/>
    <w:locked/>
    <w:uiPriority w:val="99"/>
    <w:rPr>
      <w:rFonts w:ascii="Cambria" w:hAnsi="Cambria" w:eastAsia="宋体"/>
      <w:b/>
      <w:kern w:val="2"/>
      <w:sz w:val="28"/>
    </w:rPr>
  </w:style>
  <w:style w:type="character" w:customStyle="1" w:styleId="205">
    <w:name w:val="批注引用1"/>
    <w:qFormat/>
    <w:uiPriority w:val="99"/>
    <w:rPr>
      <w:sz w:val="21"/>
    </w:rPr>
  </w:style>
  <w:style w:type="character" w:customStyle="1" w:styleId="206">
    <w:name w:val="Footnote Text Char"/>
    <w:qFormat/>
    <w:locked/>
    <w:uiPriority w:val="99"/>
    <w:rPr>
      <w:sz w:val="18"/>
    </w:rPr>
  </w:style>
  <w:style w:type="character" w:customStyle="1" w:styleId="207">
    <w:name w:val="已访问的超链接1"/>
    <w:qFormat/>
    <w:uiPriority w:val="99"/>
    <w:rPr>
      <w:color w:val="000000"/>
      <w:u w:val="none"/>
    </w:rPr>
  </w:style>
  <w:style w:type="character" w:customStyle="1" w:styleId="208">
    <w:name w:val="apple-converted-space"/>
    <w:basedOn w:val="21"/>
    <w:qFormat/>
    <w:uiPriority w:val="0"/>
    <w:rPr>
      <w:rFonts w:cs="Times New Roman"/>
    </w:rPr>
  </w:style>
  <w:style w:type="character" w:customStyle="1" w:styleId="209">
    <w:name w:val="Balloon Text Char"/>
    <w:qFormat/>
    <w:locked/>
    <w:uiPriority w:val="99"/>
    <w:rPr>
      <w:kern w:val="2"/>
      <w:sz w:val="18"/>
    </w:rPr>
  </w:style>
  <w:style w:type="character" w:customStyle="1" w:styleId="210">
    <w:name w:val="批注主题 Char"/>
    <w:link w:val="28"/>
    <w:qFormat/>
    <w:locked/>
    <w:uiPriority w:val="99"/>
    <w:rPr>
      <w:b/>
      <w:kern w:val="2"/>
      <w:sz w:val="21"/>
    </w:rPr>
  </w:style>
  <w:style w:type="character" w:customStyle="1" w:styleId="211">
    <w:name w:val="正文首行缩进 Char"/>
    <w:link w:val="29"/>
    <w:locked/>
    <w:uiPriority w:val="99"/>
    <w:rPr>
      <w:kern w:val="2"/>
      <w:sz w:val="28"/>
    </w:rPr>
  </w:style>
  <w:style w:type="character" w:customStyle="1" w:styleId="212">
    <w:name w:val="Comment Subject Char1"/>
    <w:uiPriority w:val="99"/>
    <w:rPr>
      <w:b/>
      <w:kern w:val="2"/>
      <w:sz w:val="21"/>
    </w:rPr>
  </w:style>
  <w:style w:type="character" w:customStyle="1" w:styleId="213">
    <w:name w:val="正文文本缩进 Char"/>
    <w:link w:val="30"/>
    <w:locked/>
    <w:uiPriority w:val="99"/>
    <w:rPr>
      <w:kern w:val="2"/>
      <w:sz w:val="21"/>
    </w:rPr>
  </w:style>
  <w:style w:type="character" w:customStyle="1" w:styleId="214">
    <w:name w:val="页码2"/>
    <w:basedOn w:val="21"/>
    <w:uiPriority w:val="99"/>
    <w:rPr>
      <w:rFonts w:cs="Times New Roman"/>
    </w:rPr>
  </w:style>
  <w:style w:type="character" w:customStyle="1" w:styleId="215">
    <w:name w:val="Body Text Indent Char1"/>
    <w:uiPriority w:val="99"/>
    <w:rPr>
      <w:sz w:val="21"/>
    </w:rPr>
  </w:style>
  <w:style w:type="character" w:customStyle="1" w:styleId="216">
    <w:name w:val="Comment Text Char1"/>
    <w:uiPriority w:val="99"/>
    <w:rPr>
      <w:sz w:val="21"/>
    </w:rPr>
  </w:style>
  <w:style w:type="character" w:customStyle="1" w:styleId="217">
    <w:name w:val="纯文本 Char"/>
    <w:link w:val="31"/>
    <w:locked/>
    <w:uiPriority w:val="99"/>
    <w:rPr>
      <w:rFonts w:ascii="Calibri" w:hAnsi="Calibri"/>
      <w:color w:val="000000"/>
      <w:kern w:val="2"/>
      <w:sz w:val="21"/>
    </w:rPr>
  </w:style>
  <w:style w:type="character" w:customStyle="1" w:styleId="218">
    <w:name w:val="HTML 预设格式 Char"/>
    <w:link w:val="32"/>
    <w:locked/>
    <w:uiPriority w:val="99"/>
    <w:rPr>
      <w:rFonts w:ascii="宋体" w:eastAsia="宋体"/>
      <w:sz w:val="24"/>
    </w:rPr>
  </w:style>
  <w:style w:type="character" w:customStyle="1" w:styleId="219">
    <w:name w:val="Header Char"/>
    <w:locked/>
    <w:uiPriority w:val="99"/>
    <w:rPr>
      <w:kern w:val="2"/>
      <w:sz w:val="18"/>
    </w:rPr>
  </w:style>
  <w:style w:type="character" w:customStyle="1" w:styleId="220">
    <w:name w:val="标题 Char1"/>
    <w:uiPriority w:val="99"/>
    <w:rPr>
      <w:rFonts w:ascii="Cambria" w:hAnsi="Cambria"/>
      <w:b/>
      <w:kern w:val="2"/>
      <w:sz w:val="32"/>
    </w:rPr>
  </w:style>
  <w:style w:type="character" w:customStyle="1" w:styleId="221">
    <w:name w:val="文档结构图 Char"/>
    <w:link w:val="33"/>
    <w:locked/>
    <w:uiPriority w:val="99"/>
    <w:rPr>
      <w:kern w:val="2"/>
      <w:sz w:val="21"/>
      <w:shd w:val="clear" w:color="auto" w:fill="000080"/>
    </w:rPr>
  </w:style>
  <w:style w:type="character" w:customStyle="1" w:styleId="222">
    <w:name w:val="页码1"/>
    <w:basedOn w:val="21"/>
    <w:uiPriority w:val="99"/>
    <w:rPr>
      <w:rFonts w:cs="Times New Roman"/>
    </w:rPr>
  </w:style>
  <w:style w:type="character" w:customStyle="1" w:styleId="223">
    <w:name w:val="页码11"/>
    <w:basedOn w:val="21"/>
    <w:uiPriority w:val="99"/>
    <w:rPr>
      <w:rFonts w:cs="Times New Roman"/>
    </w:rPr>
  </w:style>
  <w:style w:type="character" w:customStyle="1" w:styleId="224">
    <w:name w:val="Balloon Text Char1"/>
    <w:uiPriority w:val="99"/>
    <w:rPr>
      <w:sz w:val="16"/>
    </w:rPr>
  </w:style>
  <w:style w:type="character" w:customStyle="1" w:styleId="225">
    <w:name w:val="批注引用2"/>
    <w:uiPriority w:val="99"/>
    <w:rPr>
      <w:sz w:val="21"/>
    </w:rPr>
  </w:style>
  <w:style w:type="character" w:customStyle="1" w:styleId="226">
    <w:name w:val="Footer Char"/>
    <w:locked/>
    <w:uiPriority w:val="99"/>
    <w:rPr>
      <w:kern w:val="2"/>
      <w:sz w:val="18"/>
    </w:rPr>
  </w:style>
  <w:style w:type="character" w:customStyle="1" w:styleId="227">
    <w:name w:val="Body Text Char"/>
    <w:locked/>
    <w:uiPriority w:val="99"/>
    <w:rPr>
      <w:kern w:val="2"/>
      <w:sz w:val="21"/>
    </w:rPr>
  </w:style>
  <w:style w:type="character" w:customStyle="1" w:styleId="228">
    <w:name w:val="批注引用11"/>
    <w:uiPriority w:val="99"/>
    <w:rPr>
      <w:sz w:val="21"/>
    </w:rPr>
  </w:style>
  <w:style w:type="character" w:customStyle="1" w:styleId="229">
    <w:name w:val="Comment Text Char"/>
    <w:locked/>
    <w:uiPriority w:val="99"/>
    <w:rPr>
      <w:kern w:val="2"/>
      <w:sz w:val="21"/>
    </w:rPr>
  </w:style>
  <w:style w:type="character" w:customStyle="1" w:styleId="230">
    <w:name w:val="Header Char1"/>
    <w:uiPriority w:val="99"/>
    <w:rPr>
      <w:sz w:val="18"/>
    </w:rPr>
  </w:style>
  <w:style w:type="character" w:customStyle="1" w:styleId="231">
    <w:name w:val="Title Char"/>
    <w:locked/>
    <w:uiPriority w:val="99"/>
    <w:rPr>
      <w:rFonts w:ascii="Cambria" w:hAnsi="Cambria"/>
      <w:b/>
      <w:sz w:val="32"/>
    </w:rPr>
  </w:style>
  <w:style w:type="character" w:customStyle="1" w:styleId="232">
    <w:name w:val="Footer Char1"/>
    <w:uiPriority w:val="99"/>
    <w:rPr>
      <w:sz w:val="18"/>
    </w:rPr>
  </w:style>
  <w:style w:type="character" w:customStyle="1" w:styleId="233">
    <w:name w:val="正文文本 Char"/>
    <w:basedOn w:val="21"/>
    <w:link w:val="11"/>
    <w:semiHidden/>
    <w:uiPriority w:val="99"/>
    <w:rPr>
      <w:szCs w:val="21"/>
    </w:rPr>
  </w:style>
  <w:style w:type="character" w:customStyle="1" w:styleId="234">
    <w:name w:val="批注文字 Char"/>
    <w:basedOn w:val="21"/>
    <w:link w:val="8"/>
    <w:uiPriority w:val="0"/>
    <w:rPr>
      <w:szCs w:val="21"/>
    </w:rPr>
  </w:style>
  <w:style w:type="character" w:customStyle="1" w:styleId="235">
    <w:name w:val="页眉 Char"/>
    <w:basedOn w:val="21"/>
    <w:link w:val="15"/>
    <w:semiHidden/>
    <w:uiPriority w:val="99"/>
    <w:rPr>
      <w:sz w:val="18"/>
      <w:szCs w:val="18"/>
    </w:rPr>
  </w:style>
  <w:style w:type="character" w:customStyle="1" w:styleId="236">
    <w:name w:val="批注框文本 Char"/>
    <w:basedOn w:val="21"/>
    <w:link w:val="13"/>
    <w:semiHidden/>
    <w:uiPriority w:val="99"/>
    <w:rPr>
      <w:sz w:val="16"/>
      <w:szCs w:val="16"/>
    </w:rPr>
  </w:style>
  <w:style w:type="character" w:customStyle="1" w:styleId="237">
    <w:name w:val="页脚 Char"/>
    <w:basedOn w:val="21"/>
    <w:link w:val="14"/>
    <w:uiPriority w:val="99"/>
    <w:rPr>
      <w:sz w:val="18"/>
      <w:szCs w:val="18"/>
    </w:rPr>
  </w:style>
  <w:style w:type="character" w:customStyle="1" w:styleId="238">
    <w:name w:val="脚注文本 Char"/>
    <w:basedOn w:val="21"/>
    <w:link w:val="17"/>
    <w:semiHidden/>
    <w:uiPriority w:val="99"/>
    <w:rPr>
      <w:sz w:val="18"/>
      <w:szCs w:val="18"/>
    </w:rPr>
  </w:style>
  <w:style w:type="character" w:customStyle="1" w:styleId="239">
    <w:name w:val="标题 Char"/>
    <w:basedOn w:val="21"/>
    <w:link w:val="20"/>
    <w:uiPriority w:val="10"/>
    <w:rPr>
      <w:rFonts w:ascii="Cambria" w:hAnsi="Cambria" w:cs="Times New Roman"/>
      <w:b/>
      <w:bCs/>
      <w:sz w:val="32"/>
      <w:szCs w:val="32"/>
    </w:rPr>
  </w:style>
  <w:style w:type="character" w:customStyle="1" w:styleId="240">
    <w:name w:val="批注主题 Char1"/>
    <w:basedOn w:val="229"/>
    <w:link w:val="7"/>
    <w:semiHidden/>
    <w:qFormat/>
    <w:locked/>
    <w:uiPriority w:val="99"/>
    <w:rPr>
      <w:b/>
      <w:kern w:val="2"/>
      <w:sz w:val="21"/>
    </w:rPr>
  </w:style>
  <w:style w:type="character" w:customStyle="1" w:styleId="241">
    <w:name w:val="正文文本 Char1"/>
    <w:semiHidden/>
    <w:uiPriority w:val="99"/>
    <w:rPr>
      <w:rFonts w:ascii="Times New Roman" w:hAnsi="Times New Roman" w:eastAsia="宋体"/>
      <w:sz w:val="21"/>
    </w:rPr>
  </w:style>
  <w:style w:type="character" w:customStyle="1" w:styleId="242">
    <w:name w:val="批注文字 Char1"/>
    <w:semiHidden/>
    <w:qFormat/>
    <w:uiPriority w:val="99"/>
    <w:rPr>
      <w:rFonts w:ascii="Times New Roman" w:hAnsi="Times New Roman" w:eastAsia="宋体"/>
      <w:sz w:val="21"/>
    </w:rPr>
  </w:style>
  <w:style w:type="character" w:customStyle="1" w:styleId="243">
    <w:name w:val="页眉 Char1"/>
    <w:semiHidden/>
    <w:qFormat/>
    <w:uiPriority w:val="99"/>
    <w:rPr>
      <w:rFonts w:ascii="Times New Roman" w:hAnsi="Times New Roman" w:eastAsia="宋体"/>
      <w:sz w:val="18"/>
    </w:rPr>
  </w:style>
  <w:style w:type="character" w:customStyle="1" w:styleId="244">
    <w:name w:val="批注框文本 Char1"/>
    <w:semiHidden/>
    <w:uiPriority w:val="99"/>
    <w:rPr>
      <w:rFonts w:ascii="Times New Roman" w:hAnsi="Times New Roman" w:eastAsia="宋体"/>
      <w:sz w:val="18"/>
    </w:rPr>
  </w:style>
  <w:style w:type="character" w:customStyle="1" w:styleId="245">
    <w:name w:val="页脚 Char1"/>
    <w:semiHidden/>
    <w:qFormat/>
    <w:uiPriority w:val="99"/>
    <w:rPr>
      <w:rFonts w:ascii="Times New Roman" w:hAnsi="Times New Roman" w:eastAsia="宋体"/>
      <w:sz w:val="18"/>
    </w:rPr>
  </w:style>
  <w:style w:type="character" w:customStyle="1" w:styleId="246">
    <w:name w:val="脚注文本 Char1"/>
    <w:semiHidden/>
    <w:uiPriority w:val="99"/>
    <w:rPr>
      <w:rFonts w:ascii="Times New Roman" w:hAnsi="Times New Roman" w:eastAsia="宋体"/>
      <w:sz w:val="18"/>
    </w:rPr>
  </w:style>
  <w:style w:type="character" w:customStyle="1" w:styleId="247">
    <w:name w:val="标题 Char2"/>
    <w:qFormat/>
    <w:uiPriority w:val="99"/>
    <w:rPr>
      <w:rFonts w:ascii="Calibri Light" w:hAnsi="Calibri Light" w:eastAsia="宋体"/>
      <w:b/>
      <w:sz w:val="32"/>
    </w:rPr>
  </w:style>
  <w:style w:type="character" w:customStyle="1" w:styleId="248">
    <w:name w:val="已访问的超链接2"/>
    <w:qFormat/>
    <w:uiPriority w:val="99"/>
    <w:rPr>
      <w:color w:val="000000"/>
      <w:u w:val="none"/>
    </w:rPr>
  </w:style>
  <w:style w:type="character" w:customStyle="1" w:styleId="249">
    <w:name w:val="已访问的超链接3"/>
    <w:qFormat/>
    <w:uiPriority w:val="99"/>
    <w:rPr>
      <w:color w:val="000000"/>
      <w:u w:val="none"/>
    </w:rPr>
  </w:style>
  <w:style w:type="character" w:customStyle="1" w:styleId="250">
    <w:name w:val="文档结构图 Char1"/>
    <w:basedOn w:val="21"/>
    <w:link w:val="10"/>
    <w:semiHidden/>
    <w:qFormat/>
    <w:locked/>
    <w:uiPriority w:val="99"/>
    <w:rPr>
      <w:rFonts w:ascii="宋体" w:cs="Times New Roman"/>
      <w:kern w:val="2"/>
      <w:sz w:val="18"/>
      <w:szCs w:val="18"/>
    </w:rPr>
  </w:style>
  <w:style w:type="character" w:customStyle="1" w:styleId="251">
    <w:name w:val="bluetxt1"/>
    <w:basedOn w:val="21"/>
    <w:uiPriority w:val="0"/>
    <w:rPr/>
  </w:style>
  <w:style w:type="character" w:customStyle="1" w:styleId="252">
    <w:name w:val="topic"/>
    <w:basedOn w:val="21"/>
    <w:uiPriority w:val="0"/>
    <w:rPr/>
  </w:style>
  <w:style w:type="character" w:customStyle="1" w:styleId="253">
    <w:name w:val="标题 6 Char"/>
    <w:basedOn w:val="21"/>
    <w:link w:val="6"/>
    <w:uiPriority w:val="9"/>
    <w:rPr>
      <w:rFonts w:ascii="Cambria" w:hAnsi="Cambria" w:eastAsia="宋体" w:cs="黑体"/>
      <w:b/>
      <w:bCs/>
      <w:kern w:val="2"/>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1058</Words>
  <Characters>6033</Characters>
  <Lines>50</Lines>
  <Paragraphs>14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2017-08-25T03:10:00Z</dcterms:created>
  <dc:creator>Administrator</dc:creator>
  <cp:lastModifiedBy>伍志韬</cp:lastModifiedBy>
  <cp:lastPrinted>2017-07-18T10:22:00Z</cp:lastPrinted>
  <dcterms:modified xsi:type="dcterms:W3CDTF">2017-09-25T01:55:48Z</dcterms:modified>
  <dc:title>物联网综合标准化技术体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