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2017年第三季度国家标准制修订计划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二○一七年七月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2017年第三季度国家标准制修订计划汇总表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/领域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信息化和软件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服务业司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两化融合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default"/>
          <w:pgSz w:w="16838" w:h="11906" w:orient="landscape"/>
          <w:pgMar w:top="873" w:right="663" w:bottom="873" w:left="1230" w:header="142" w:footer="425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民爆行业标准项目计划表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安全生产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电子行业标准项目计划表</w:t>
      </w:r>
      <w:r>
        <w:rPr>
          <w:b/>
        </w:rPr>
        <w:tab/>
      </w:r>
      <w:r>
        <w:rPr>
          <w:b/>
        </w:rPr>
        <w:t>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光缆</w:t>
      </w:r>
      <w:r>
        <w:tab/>
      </w:r>
      <w:r>
        <w:t>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音频视频及多媒体产品与设备</w:t>
      </w:r>
      <w:r>
        <w:tab/>
      </w:r>
      <w: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导航设备</w:t>
      </w:r>
      <w:r>
        <w:tab/>
      </w:r>
      <w: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电声学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磁性元件与铁氧体材料</w:t>
      </w:r>
      <w:r>
        <w:tab/>
      </w:r>
      <w:r>
        <w:t>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电子设备用高频电缆及连接器</w:t>
      </w:r>
      <w:r>
        <w:tab/>
      </w:r>
      <w:r>
        <w:t>10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频率控制和选择用压电器件</w:t>
      </w:r>
      <w:r>
        <w:tab/>
      </w:r>
      <w:r>
        <w:t>11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太阳光伏能源系统</w:t>
      </w:r>
      <w:r>
        <w:tab/>
      </w:r>
      <w:r>
        <w:t>12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音频、视频及多媒体系统与设备</w:t>
      </w:r>
      <w:r>
        <w:tab/>
      </w:r>
      <w:r>
        <w:t>15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 w:ascii="宋体" w:hAnsi="宋体" w:cs="宋体"/>
          <w:b/>
          <w:kern w:val="0"/>
          <w:sz w:val="20"/>
          <w:szCs w:val="20"/>
          <w:lang w:eastAsia="zh-CN"/>
        </w:rPr>
        <w:t>两化融合领域</w:t>
      </w:r>
      <w:r>
        <w:rPr>
          <w:rFonts w:hint="eastAsia"/>
          <w:b/>
        </w:rPr>
        <w:t>标准项目计划表</w:t>
      </w:r>
      <w:r>
        <w:rPr>
          <w:b/>
        </w:rPr>
        <w:tab/>
      </w:r>
      <w:r>
        <w:rPr>
          <w:b/>
        </w:rPr>
        <w:t>16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两化融合</w:t>
      </w:r>
      <w:r>
        <w:tab/>
      </w:r>
      <w:r>
        <w:t>16</w:t>
      </w:r>
    </w:p>
    <w:p>
      <w:pPr>
        <w:spacing w:line="20" w:lineRule="auto"/>
        <w:jc w:val="center"/>
        <w:rPr>
          <w:rFonts w:ascii="宋体" w:hAnsi="宋体"/>
          <w:sz w:val="20"/>
        </w:rPr>
        <w:sectPr>
          <w:type w:val="continuous"/>
          <w:pgSz w:w="16838" w:h="11906" w:orient="landscape"/>
          <w:pgMar w:top="873" w:right="663" w:bottom="873" w:left="1230" w:header="142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9"/>
        <w:gridCol w:w="1725"/>
        <w:gridCol w:w="2508"/>
        <w:gridCol w:w="588"/>
        <w:gridCol w:w="588"/>
        <w:gridCol w:w="1559"/>
        <w:gridCol w:w="719"/>
        <w:gridCol w:w="588"/>
        <w:gridCol w:w="1377"/>
        <w:gridCol w:w="2086"/>
        <w:gridCol w:w="2244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2017民爆行业标准项目计划表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民爆行业标准项目计划表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安全生产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"http://219.239.107.155:8080/TaskBook.aspx?id=GMBAQXQ00562017"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GMBAQXQ0056-2017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民用爆炸物品生产、销售企业安全管理规程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28263-2012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28261-2012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WJ 9064-2010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WJ 9067-2010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WJ 9068-2010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WJ 9072-2012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WJ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9082-2015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中国兵器工业标准化研究所等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光缆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光缆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"http://219.239.107.155:8080/TaskBook.aspx?id=GSJCPXT00722017"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GSJCPXT0072-2017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光缆 第3部分：分规范 室外光缆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7424.3-2003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NEQ IEC 60794-3:2014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中国电子科技集团第八研究所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光缆 第3-70部分：室外光缆—快速/多次布放光缆门类规范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NEQ IEC 60794-3-70:2016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中国电子科技集团第八研究所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音频视频及多媒体产品与设备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音频视频及多媒体产品与设备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绿色产品评价规范 平板电视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全国音频视频及多媒体产品与设备标准化技术委员会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导航设备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导航设备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"http://219.239.107.155:8080/TaskBook.aspx?id=GSJCPZT00572017"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微机电惯性导航系统测试方法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全国导航设备标准化技术委员会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中国航天科工集团第三研究院第三十三研究所、中国航天科技集团公司第八研究院第八0三研究所、中国船舶重工集团公司第七0五研究所、北京理工大学、哈尔滨工程大学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"http://219.239.107.155:8080/TaskBook.aspx?id=GSJCPZT00592017"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光纤陀螺惯性导航系统测试方法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全国导航设备标准化技术委员会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中国航天科工集团第三研究院第三十三研究所、中国航天科技集团公司第八研究院第八0三研究所、中国船舶重工集团公司第七0五研究所、北京理工大学、哈尔滨工程大学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电声学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电声学</w:instrText>
            </w:r>
            <w:r>
              <w:instrText xml:space="preserve">" \y "100041"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"http://219.239.107.155:8080/TaskBook.aspx?id=GSJCPXT00842017"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GSJCPXT0084-2017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倍频程和分数倍频程滤波器 第2部分：型式评价试验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3241-2010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61260-2:2016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衡阳衡仪电气有限公司、中国电子科技集团公司第三研究所等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"http://219.239.107.155:8080/TaskBook.aspx?id=GSJCPZT00852017"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GSJCPZT0085-2017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用于超声情况下测量可听声的滤波器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MOD IEC 61012:1990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衡阳衡仪电气有限公司、中国电子科技集团公司第三研究所等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"http://219.239.107.155:8080/TaskBook.aspx?id=GSJCPXT00862017"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GSJCPXT0086-2017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倍频程和分数倍频程滤波器 第3部分：周期试验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3241-2010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61260-3:2016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中国计量科学研究院、中国电子科技集团公司第三研究所等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"http://219.239.107.155:8080/TaskBook.aspx?id=GSJCPZT00872017"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GSJCPZT0087-2017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倍频程和分数倍频程滤波器 第1部分：规范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61260-1:2014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杭州爱华仪器有限公司、中国电子科技集团公司第三研究所等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"http://219.239.107.155:8080/TaskBook.aspx?id=GSJCPXT00882017"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GSJCPXT0088-2017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人头模拟器和耳模拟器 第1部分：测量压耳式和耳罩式耳机用耳模拟器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25498.1-2010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60318-1:2009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中国计量科学研究院、中国电子科技集团公司第三研究所等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"http://219.239.107.155:8080/TaskBook.aspx?id=GSJCPXT00892017"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GSJCPXT0089-2017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人头模拟器和耳模拟器 第3部分：校准压耳式测听耳机用声耦合器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25498.3-2010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60318-3:2014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中国计量科学研究院、中国电子科技集团公司第三研究所等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磁性元件与铁氧体材料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磁性元件与铁氧体材料</w:instrText>
            </w:r>
            <w:r>
              <w:instrText xml:space="preserve">" \y "100051"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软磁材料制成的磁心 测量方法 第2部分：低励磁电平下的磁测量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62044-2：2005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中国电子科技集团公司第九研究所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软磁材料制成的磁心 测量方法 第3部分：高励磁电平下的磁测量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62044-3：2000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中国电子科技集团公司第九研究所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铁氧体磁心 尺寸和表面缺陷极限导则 第4部分:RM型磁心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横店集团东磁股份有限公司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铁氧体磁心 有隙磁心的标准电感因数及其公差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62358：2012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天通控股股份有限公司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电子设备用高频电缆及连接器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电子设备用高频电缆及连接器</w:instrText>
            </w:r>
            <w:r>
              <w:instrText xml:space="preserve">" \y "100061"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同轴通信电缆 第9部分：柔软电缆分规范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NEQ IEC 61196-9:2014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中国电子技术标准化研究院、深圳金新诺高新技术股份有限公司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同轴通信电缆 第11部分：聚乙烯绝缘半硬电缆分规范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NEQ IEC 61196-11：2016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"http://219.239.107.155:8080/TaskBook.aspx?id=GSJCPXT00802017"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GSJCPXT0080-2017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同轴通信电缆 第10部分：聚四氟乙烯绝缘半硬电缆分规范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17737.2-2000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NEQ IEC 61196-10：2014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"http://219.239.107.155:8080/TaskBook.aspx?id=GSJCPZT00812017"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GSJCPZT0081-2017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金属通信电缆试验方法 第4-3部分：电磁兼容性（EMC） 表面转移阻抗 三同轴法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62153-4-3：2006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"http://219.239.107.155:8080/TaskBook.aspx?id=GSJCPZT00822017"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GSJCPZT0082-2017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金属通信电缆试验方法 第4-4部分：电磁兼容（EMC） 3GHz及其以上频率屏蔽衰减as测量用屏蔽衰减试验方法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62153-4-4：2006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"http://219.239.107.155:8080/TaskBook.aspx?id=GSJCPZT00832017"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GSJCPZT0083-2017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金属通信电缆试验方法 第4-7部分：电磁兼容性（EMC） 转移阻抗和屏蔽或耦合衰减的试验方法 管中管法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62153-4-7：2006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频率控制和选择用压电器件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频率控制和选择用压电器件</w:instrText>
            </w:r>
            <w:r>
              <w:instrText xml:space="preserve">" \y "100071"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"http://219.239.107.155:8080/TaskBook.aspx?id=GSJCPXT00912017"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GSJCPXT0091-2017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声表面波器件用单晶晶片 规范与测量方法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30118-2013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62276:2016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中国电子科技集团公司第二十六研究所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"http://219.239.107.155:8080/TaskBook.aspx?id=GSJCPXT00922017"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GSJCPXT0092-2017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人造石英晶体 规范与使用指南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3352-2012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MOD IEC 60758:2016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北京石晶光电科技股份有限公司、江阴市天盛光电高科有限公司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太阳光伏能源系统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太阳光伏能源系统</w:instrText>
            </w:r>
            <w:r>
              <w:instrText xml:space="preserve">" \y "100081"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"http://219.239.107.155:8080/TaskBook.aspx?id=GSJCPZT00582017"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地面用平面双层夹胶玻璃晶体硅太阳电池组件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常州天合光能有限公司、江阴海润光伏科技股份有限公司、河海大学、国家太阳能光伏产品质量监督检验中心等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光伏组件运输测试 第1部分：组件包装单元的运输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晶科能源有限公司、常熟阿特斯阳光电力科技有限公司、江苏中能硅业科技发展有限公司、中检集团南方电子产品测试、工业和信息化部电子工业标准化研究院、莱茵检测认证服务、保定天威英利新能源有限公司、常州天合光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光伏组件设计鉴定和定型质量控制导则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IEC/TS 62941:2016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中国电子技术标准化研究院、常州天合光能有限公司、中国建材检验认证集团股份有限公司、杭州汉德质量认证服务有限公司、北京鉴衡认证中心有限公司等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光伏器件 第1-2部分：双面发电光伏器件电参数测试方法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英利能源（中国）有限公司、国家太阳能光伏产品质量监督检验中心、常州天合光伏发电系统有限公司、常熟阿特斯阳光电力科技有限公司、河北流云新能源科技有限公司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光伏系统 太阳跟踪器设计鉴定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62817:2014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中国电子技术标准化研究院、中信博新能源科技（苏州）有限公司、北京鉴衡认证中心有限公司、黄山睿基新能源股份有限公司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光伏扬水系统 设计鉴定和性能测试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62253:2011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中国电子技术标准化研究院、中利腾晖光伏科技有限公司、云南卓业能源有限公司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第1部分：测试要求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61215-1:2016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中国电子技术标准化研究院、国家太阳能光伏产品质量监督检验中心、常州天合光能有限公司、英利能源（中国）有限公司等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第1-1部分：晶体硅光伏组件测试要求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61215-1-1 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中国电子技术标准化研究院、国家太阳能光伏产品质量监督检验中心、常州天合光能有限公司、英利能源（中国）有限公司等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第1-2部分：碲化镉薄膜光伏组件测试的特殊要求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61215-1-2:2016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中国电子科技集团公司第十八研究所、龙焱能源科技（杭州）有限公司、扬州光电产品检测中心、成都中光电阿波罗太阳能有限公司等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"http://219.239.107.155:8080/TaskBook.aspx?id=GSJCPZT00692017"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第1-3部分：非晶硅薄膜光伏组件测试的特殊要求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61215-1-3:2016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中国电子科技集团公司第十八研究所、汉能控股集团有限公司、南开大学光电子薄膜器件与技术研究所等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第1-4部分：铜铟镓硒薄膜光伏组件测试的特殊要求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61215-1-4:2016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中国电子科技集团公司第十八研究所、汉能控股集团有限公司、中检集团南方电子产品测试（深圳）股份有限公司等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"http://219.239.107.155:8080/TaskBook.aspx?id=GSJCPZT00712017"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地面光伏组件 设计鉴定和定型 第2部分：测试程序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61215-2 :2016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全国太阳光伏能源系统标准化技术委员会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中国电子技术标准化研究院、国家太阳能光伏产品质量监督检验中心、常州天合光能有限公司、英利能源（中国）有限公司等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音频、视频及多媒体系统与设备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音频、视频及多媒体系统与设备</w:instrText>
            </w:r>
            <w:r>
              <w:instrText xml:space="preserve">" \y "100091"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"http://219.239.107.155:8080/TaskBook.aspx?id=GSJCPZT00902017"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GSJCPZT0090-2017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智能电视交互应用接口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青岛海信电器股份有限公司、闪联信息技术工程中心有限公司、康佳集团股份有限公司、乐视致新电子科技（天津）有限公司、深圳茁壮网络股份有限公司、深圳创维-RGB电子有限公司、青岛海尔电子有限公司、三星电子（中国）研发中心、索尼（中国）有限公司、四川长虹电器股份有限公司、江苏银河电子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2017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两化融合领域</w:t>
            </w:r>
            <w:bookmarkStart w:id="2" w:name="_GoBack"/>
            <w:bookmarkEnd w:id="2"/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综合标准化行业标准项目计划表</w:instrText>
            </w:r>
            <w:r>
              <w:instrText xml:space="preserve">" \\y "100100"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两化融合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两化融合</w:instrText>
            </w:r>
            <w:r>
              <w:instrText xml:space="preserve">" \y "100101"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"http://219.239.107.155:8080/TaskBook.aspx?id=GZHCPZT00932017"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GZHCPZT0093-2017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信息化和工业化融合生态系统模型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"http://219.239.107.155:8080/TaskBook.aspx?id=GZHCPZT00942017"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GZHCPZT0094-2017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信息化和工业化融合管理体系 价值效益指南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"http://219.239.107.155:8080/TaskBook.aspx?id=GZHCPZT00952017"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GZHCPZT0095-2017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信息化和工业化融合管理体系 企业新型能力评价体系及方法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"http://219.239.107.155:8080/TaskBook.aspx?id=GZHCPZT00962017"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GZHCPZT0096-2017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工程机械行业基于Handle的供应链协同 第1部分：通用数据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"http://219.239.107.155:8080/TaskBook.aspx?id=GZHCPZT00972017"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GZHCPZT0097-2017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工程机械行业基于Handle的供应链协同 第2部分：系统集成接口技术要求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"http://219.239.107.155:8080/TaskBook.aspx?id=GZHCPZT00982017"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GZHCPZT0098-2017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工程机械行业基于Handle的供应链协同 第3部分：供应链协同应用和管理平台功能规范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"http://219.239.107.155:8080/TaskBook.aspx?id=GZHCPZT00992017"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GZHCPZT0099-2017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面向制造业的标识解析体系-Handle解析标准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"http://219.239.107.155:8080/TaskBook.aspx?id=GZHCPZT01002017"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GZHCPZT0100-2017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产业园区信息化和工业化融合建设与管理通用规范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上海智慧园区发展促进中心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"http://219.239.107.155:8080/TaskBook.aspx?id=GZHCPXT01012017"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GZHCPXT0101-2017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工业企业信息化和工业化融合评估规范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23020-2013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全国信息化和工业化融合基础和管理体系标准化技术委员会（筹）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type w:val="continuous"/>
      <w:pgSz w:w="16838" w:h="11906" w:orient="landscape"/>
      <w:pgMar w:top="873" w:right="663" w:bottom="873" w:left="1230" w:header="142" w:footer="42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16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0762648">
    <w:nsid w:val="50830098"/>
    <w:multiLevelType w:val="multilevel"/>
    <w:tmpl w:val="5083009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507626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2E3"/>
    <w:rsid w:val="00073E03"/>
    <w:rsid w:val="002B1642"/>
    <w:rsid w:val="002D46FF"/>
    <w:rsid w:val="003F21F0"/>
    <w:rsid w:val="004B75EF"/>
    <w:rsid w:val="00C9253B"/>
    <w:rsid w:val="00E422E3"/>
    <w:rsid w:val="00F630EB"/>
    <w:rsid w:val="00FC1431"/>
    <w:rsid w:val="22B93F67"/>
    <w:rsid w:val="672D4F56"/>
    <w:rsid w:val="72A95C2C"/>
    <w:rsid w:val="7B8C46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ght Shading"/>
    <w:lsdException w:unhideWhenUsed="0" w:uiPriority="0" w:semiHidden="0" w:name="Light List"/>
    <w:lsdException w:unhideWhenUsed="0" w:uiPriority="0" w:semiHidden="0" w:name="Light Grid"/>
    <w:lsdException w:unhideWhenUsed="0" w:uiPriority="0" w:semiHidden="0" w:name="Medium Shading 1"/>
    <w:lsdException w:unhideWhenUsed="0" w:uiPriority="0" w:semiHidden="0" w:name="Medium Shading 2"/>
    <w:lsdException w:unhideWhenUsed="0" w:uiPriority="0" w:semiHidden="0" w:name="Medium List 1"/>
    <w:lsdException w:unhideWhenUsed="0" w:uiPriority="0" w:semiHidden="0" w:name="Medium List 2"/>
    <w:lsdException w:unhideWhenUsed="0" w:uiPriority="0" w:semiHidden="0" w:name="Medium Grid 1"/>
    <w:lsdException w:unhideWhenUsed="0" w:uiPriority="0" w:semiHidden="0" w:name="Medium Grid 2"/>
    <w:lsdException w:unhideWhenUsed="0" w:uiPriority="0" w:semiHidden="0" w:name="Medium Grid 3"/>
    <w:lsdException w:unhideWhenUsed="0" w:uiPriority="0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0" w:semiHidden="0" w:name="Light List Accent 1"/>
    <w:lsdException w:unhideWhenUsed="0" w:uiPriority="0" w:semiHidden="0" w:name="Light Grid Accent 1"/>
    <w:lsdException w:unhideWhenUsed="0" w:uiPriority="0" w:semiHidden="0" w:name="Medium Shading 1 Accent 1"/>
    <w:lsdException w:unhideWhenUsed="0" w:uiPriority="0" w:semiHidden="0" w:name="Medium Shading 2 Accent 1"/>
    <w:lsdException w:unhideWhenUsed="0" w:uiPriority="0" w:semiHidden="0" w:name="Medium List 1 Accent 1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1800</Words>
  <Characters>10262</Characters>
  <Lines>85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2017-07-07T06:19:00Z</dcterms:created>
  <dc:creator>T430</dc:creator>
  <cp:lastModifiedBy>huanhuanm</cp:lastModifiedBy>
  <dcterms:modified xsi:type="dcterms:W3CDTF">2017-07-07T06:37:07Z</dcterms:modified>
  <dc:title>工业和信息化部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