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exact"/>
        <w:ind w:firstLine="0" w:firstLineChars="0"/>
        <w:jc w:val="center"/>
        <w:outlineLvl w:val="0"/>
        <w:rPr>
          <w:rFonts w:eastAsia="黑体"/>
          <w:color w:val="000000"/>
          <w:kern w:val="0"/>
          <w:sz w:val="32"/>
          <w:szCs w:val="32"/>
        </w:rPr>
      </w:pPr>
      <w:r>
        <w:rPr>
          <w:rFonts w:hint="eastAsia" w:eastAsia="黑体"/>
          <w:color w:val="000000"/>
          <w:kern w:val="0"/>
          <w:sz w:val="32"/>
          <w:szCs w:val="32"/>
        </w:rPr>
        <w:t>《专用校车学生座椅系统及其车辆固定件的强度》</w:t>
      </w:r>
    </w:p>
    <w:p>
      <w:pPr>
        <w:autoSpaceDE w:val="0"/>
        <w:autoSpaceDN w:val="0"/>
        <w:adjustRightInd w:val="0"/>
        <w:spacing w:line="400" w:lineRule="exact"/>
        <w:ind w:firstLine="0" w:firstLineChars="0"/>
        <w:jc w:val="center"/>
        <w:outlineLvl w:val="0"/>
        <w:rPr>
          <w:rFonts w:eastAsia="黑体"/>
          <w:color w:val="000000"/>
          <w:kern w:val="0"/>
          <w:sz w:val="32"/>
          <w:szCs w:val="32"/>
        </w:rPr>
      </w:pPr>
      <w:r>
        <w:rPr>
          <w:rFonts w:hint="eastAsia" w:eastAsia="黑体"/>
          <w:color w:val="000000"/>
          <w:kern w:val="0"/>
          <w:sz w:val="32"/>
          <w:szCs w:val="32"/>
          <w:lang w:eastAsia="zh-CN"/>
        </w:rPr>
        <w:t>（</w:t>
      </w:r>
      <w:r>
        <w:rPr>
          <w:rFonts w:hint="eastAsia" w:eastAsia="黑体"/>
          <w:color w:val="000000"/>
          <w:kern w:val="0"/>
          <w:sz w:val="32"/>
          <w:szCs w:val="32"/>
        </w:rPr>
        <w:t>征求意见稿</w:t>
      </w:r>
      <w:r>
        <w:rPr>
          <w:rFonts w:hint="eastAsia" w:eastAsia="黑体"/>
          <w:color w:val="000000"/>
          <w:kern w:val="0"/>
          <w:sz w:val="32"/>
          <w:szCs w:val="32"/>
          <w:lang w:eastAsia="zh-CN"/>
        </w:rPr>
        <w:t>）</w:t>
      </w:r>
      <w:r>
        <w:rPr>
          <w:rFonts w:hint="eastAsia" w:eastAsia="黑体"/>
          <w:color w:val="000000"/>
          <w:kern w:val="0"/>
          <w:sz w:val="32"/>
          <w:szCs w:val="32"/>
        </w:rPr>
        <w:t>编制说明</w:t>
      </w:r>
    </w:p>
    <w:p>
      <w:pPr>
        <w:autoSpaceDE w:val="0"/>
        <w:autoSpaceDN w:val="0"/>
        <w:adjustRightInd w:val="0"/>
        <w:spacing w:line="400" w:lineRule="exact"/>
        <w:ind w:firstLine="480" w:firstLineChars="200"/>
        <w:jc w:val="left"/>
        <w:outlineLvl w:val="0"/>
        <w:rPr>
          <w:rFonts w:hint="eastAsia" w:eastAsia="黑体"/>
          <w:bCs/>
          <w:color w:val="000000"/>
          <w:kern w:val="0"/>
          <w:sz w:val="24"/>
        </w:rPr>
      </w:pPr>
      <w:r>
        <w:rPr>
          <w:rFonts w:hint="eastAsia" w:eastAsia="黑体"/>
          <w:bCs/>
          <w:color w:val="000000"/>
          <w:kern w:val="0"/>
          <w:sz w:val="24"/>
          <w:lang w:val="en-US" w:eastAsia="zh-CN"/>
        </w:rPr>
        <w:t>一、</w:t>
      </w:r>
      <w:r>
        <w:rPr>
          <w:rFonts w:hint="eastAsia" w:eastAsia="黑体"/>
          <w:bCs/>
          <w:color w:val="000000"/>
          <w:kern w:val="0"/>
          <w:sz w:val="24"/>
        </w:rPr>
        <w:t>工作简况</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一</w:t>
      </w:r>
      <w:r>
        <w:rPr>
          <w:rFonts w:hint="eastAsia"/>
          <w:b/>
          <w:szCs w:val="21"/>
          <w:lang w:eastAsia="zh-CN"/>
        </w:rPr>
        <w:t>）</w:t>
      </w:r>
      <w:r>
        <w:rPr>
          <w:rFonts w:hint="eastAsia"/>
          <w:b/>
          <w:szCs w:val="21"/>
        </w:rPr>
        <w:t>任务来源</w:t>
      </w:r>
    </w:p>
    <w:p>
      <w:pPr>
        <w:spacing w:line="400" w:lineRule="exact"/>
        <w:ind w:firstLine="420" w:firstLineChars="200"/>
        <w:rPr>
          <w:rFonts w:hint="eastAsia" w:ascii="宋体" w:hAnsi="宋体"/>
          <w:szCs w:val="21"/>
        </w:rPr>
      </w:pPr>
      <w:r>
        <w:rPr>
          <w:rFonts w:hint="eastAsia" w:ascii="宋体" w:hAnsi="宋体"/>
          <w:szCs w:val="21"/>
        </w:rPr>
        <w:t>根据国家标准化管理委员会2020年12月24日国标委发〔2020〕54号文件下达的国家标准制修订任务，</w:t>
      </w:r>
      <w:bookmarkStart w:id="0" w:name="_Hlk24362472"/>
      <w:r>
        <w:rPr>
          <w:rFonts w:hint="eastAsia" w:ascii="宋体" w:hAnsi="宋体"/>
          <w:szCs w:val="21"/>
        </w:rPr>
        <w:t>由中国汽车技术研究中心</w:t>
      </w:r>
      <w:bookmarkEnd w:id="0"/>
      <w:r>
        <w:rPr>
          <w:rFonts w:hint="eastAsia" w:ascii="宋体" w:hAnsi="宋体"/>
          <w:szCs w:val="21"/>
        </w:rPr>
        <w:t>有限公司等承担国家标准《专用校车学生座椅系统及其车辆固定件的强度》的修订工作，项目计划号为20205235-Q-339。</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二</w:t>
      </w:r>
      <w:r>
        <w:rPr>
          <w:rFonts w:hint="eastAsia"/>
          <w:b/>
          <w:szCs w:val="21"/>
          <w:lang w:eastAsia="zh-CN"/>
        </w:rPr>
        <w:t>）</w:t>
      </w:r>
      <w:r>
        <w:rPr>
          <w:rFonts w:hint="eastAsia"/>
          <w:b/>
          <w:szCs w:val="21"/>
        </w:rPr>
        <w:t>编制过程</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前期预研</w:t>
      </w:r>
    </w:p>
    <w:p>
      <w:pPr>
        <w:spacing w:line="400" w:lineRule="exact"/>
        <w:ind w:firstLine="420" w:firstLineChars="200"/>
        <w:rPr>
          <w:rFonts w:hint="eastAsia" w:ascii="宋体" w:hAnsi="宋体"/>
          <w:szCs w:val="21"/>
        </w:rPr>
      </w:pPr>
      <w:r>
        <w:rPr>
          <w:rFonts w:hint="eastAsia" w:ascii="宋体" w:hAnsi="宋体"/>
          <w:szCs w:val="21"/>
        </w:rPr>
        <w:t>2016年1月至12月，标准牵头单位搜集关于GB 24406-2012标准实施的反馈意见。</w:t>
      </w:r>
    </w:p>
    <w:p>
      <w:pPr>
        <w:spacing w:line="400" w:lineRule="exact"/>
        <w:ind w:firstLine="420" w:firstLineChars="200"/>
        <w:rPr>
          <w:rFonts w:hint="eastAsia" w:ascii="宋体" w:hAnsi="宋体"/>
          <w:szCs w:val="21"/>
        </w:rPr>
      </w:pPr>
      <w:r>
        <w:rPr>
          <w:rFonts w:hint="eastAsia" w:ascii="宋体" w:hAnsi="宋体"/>
          <w:szCs w:val="21"/>
        </w:rPr>
        <w:t>2018年，牵头单位自立专项课题进行技术攻关及标准预研，进行不同系列儿童假人试验和性能指标对比，研究假人适用性。</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标准立项</w:t>
      </w:r>
    </w:p>
    <w:p>
      <w:pPr>
        <w:spacing w:line="400" w:lineRule="exact"/>
        <w:ind w:firstLine="420" w:firstLineChars="200"/>
        <w:rPr>
          <w:rFonts w:hint="eastAsia" w:ascii="宋体" w:hAnsi="宋体"/>
          <w:szCs w:val="21"/>
        </w:rPr>
      </w:pPr>
      <w:r>
        <w:rPr>
          <w:rFonts w:hint="eastAsia" w:ascii="宋体" w:hAnsi="宋体"/>
          <w:szCs w:val="21"/>
        </w:rPr>
        <w:t>2020年3月，基于前期预研，修改完善的标准修订立顶材料并提交全国汽标委按规定程序进行立项申请。</w:t>
      </w:r>
    </w:p>
    <w:p>
      <w:pPr>
        <w:spacing w:line="400" w:lineRule="exact"/>
        <w:ind w:firstLine="420" w:firstLineChars="200"/>
        <w:rPr>
          <w:rFonts w:hint="eastAsia" w:ascii="宋体" w:hAnsi="宋体"/>
          <w:szCs w:val="21"/>
        </w:rPr>
      </w:pPr>
      <w:r>
        <w:rPr>
          <w:rFonts w:hint="eastAsia" w:ascii="宋体" w:hAnsi="宋体"/>
          <w:szCs w:val="21"/>
        </w:rPr>
        <w:t>2020年12月24日，国标委以“国标委发【2020】54号”文批准立项，立项号为20205235-Q-339。</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标准编制</w:t>
      </w:r>
    </w:p>
    <w:p>
      <w:pPr>
        <w:spacing w:line="400" w:lineRule="exact"/>
        <w:ind w:firstLine="420" w:firstLineChars="200"/>
        <w:rPr>
          <w:rFonts w:hint="eastAsia" w:ascii="宋体" w:hAnsi="宋体"/>
          <w:szCs w:val="21"/>
        </w:rPr>
      </w:pPr>
      <w:r>
        <w:rPr>
          <w:rFonts w:hint="eastAsia" w:ascii="宋体" w:hAnsi="宋体"/>
          <w:szCs w:val="21"/>
        </w:rPr>
        <w:t>2021年5月，在天津召开第一次工作组会议，对标准草案进行讨论，对标准主要变更内容达成一致。并明确下一步工作计划和分工。</w:t>
      </w:r>
    </w:p>
    <w:p>
      <w:pPr>
        <w:spacing w:line="400" w:lineRule="exact"/>
        <w:ind w:firstLine="420" w:firstLineChars="200"/>
        <w:rPr>
          <w:rFonts w:hint="eastAsia" w:ascii="宋体" w:hAnsi="宋体"/>
          <w:szCs w:val="21"/>
        </w:rPr>
      </w:pPr>
      <w:r>
        <w:rPr>
          <w:rFonts w:hint="eastAsia" w:ascii="宋体" w:hAnsi="宋体"/>
          <w:szCs w:val="21"/>
        </w:rPr>
        <w:t>2021年6月，进行数据调研，经过统计分析提取了试验工况参数，并以此为试验输入进行后续的研究和验证试验。</w:t>
      </w:r>
    </w:p>
    <w:p>
      <w:pPr>
        <w:spacing w:line="400" w:lineRule="exact"/>
        <w:ind w:firstLine="420" w:firstLineChars="200"/>
        <w:rPr>
          <w:rFonts w:hint="eastAsia" w:ascii="宋体" w:hAnsi="宋体"/>
          <w:szCs w:val="21"/>
        </w:rPr>
      </w:pPr>
      <w:r>
        <w:rPr>
          <w:rFonts w:hint="eastAsia" w:ascii="宋体" w:hAnsi="宋体"/>
          <w:szCs w:val="21"/>
        </w:rPr>
        <w:t>2021年7月-2022年3月，进行标准修订研究和验证试验，通过对国外标准文献的研读并利用CAE仿真分析，确认了包括后碰试验输入参数、假人伤害限值要求等关键技术内容。组织企业和检测机构合计对8款校车座椅产品进行了32次正碰和后碰动态试验，基于试验结果进行了标准修订的调整。</w:t>
      </w:r>
    </w:p>
    <w:p>
      <w:pPr>
        <w:spacing w:line="400" w:lineRule="exact"/>
        <w:ind w:firstLine="420" w:firstLineChars="200"/>
        <w:rPr>
          <w:rFonts w:hint="eastAsia" w:ascii="宋体" w:hAnsi="宋体"/>
          <w:szCs w:val="21"/>
        </w:rPr>
      </w:pPr>
      <w:r>
        <w:rPr>
          <w:rFonts w:hint="eastAsia" w:ascii="宋体" w:hAnsi="宋体"/>
          <w:szCs w:val="21"/>
        </w:rPr>
        <w:t>2022年4月，以网络会议的形式召开第二次工作组会议，会上对标准的主要技术变更、变更依据、验证试验情况等进行了讨论。与会专家提出了修改建议，增加了同一型式判定和实施日期两个章节。</w:t>
      </w:r>
    </w:p>
    <w:p>
      <w:pPr>
        <w:numPr>
          <w:ilvl w:val="2"/>
          <w:numId w:val="4"/>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标准征求意见</w:t>
      </w:r>
    </w:p>
    <w:p>
      <w:pPr>
        <w:spacing w:line="400" w:lineRule="exact"/>
        <w:ind w:firstLine="420" w:firstLineChars="200"/>
        <w:rPr>
          <w:rFonts w:hint="eastAsia" w:ascii="宋体" w:hAnsi="宋体"/>
          <w:szCs w:val="21"/>
        </w:rPr>
      </w:pPr>
      <w:r>
        <w:rPr>
          <w:rFonts w:hint="eastAsia" w:ascii="宋体" w:hAnsi="宋体"/>
          <w:szCs w:val="21"/>
        </w:rPr>
        <w:t>2022年5月，标准编制小组根据前期的工作结果和反馈意见，再次整理标准文本，形成征求意见稿。</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三</w:t>
      </w:r>
      <w:r>
        <w:rPr>
          <w:rFonts w:hint="eastAsia"/>
          <w:b/>
          <w:szCs w:val="21"/>
          <w:lang w:eastAsia="zh-CN"/>
        </w:rPr>
        <w:t>）</w:t>
      </w:r>
      <w:r>
        <w:rPr>
          <w:rFonts w:hint="eastAsia"/>
          <w:b/>
          <w:szCs w:val="21"/>
        </w:rPr>
        <w:t>主要参加单位和工作组成员</w:t>
      </w:r>
    </w:p>
    <w:p>
      <w:pPr>
        <w:spacing w:line="400" w:lineRule="exact"/>
        <w:ind w:firstLine="420" w:firstLineChars="200"/>
        <w:rPr>
          <w:rFonts w:hint="eastAsia" w:ascii="宋体" w:hAnsi="宋体"/>
          <w:szCs w:val="21"/>
        </w:rPr>
      </w:pPr>
      <w:r>
        <w:rPr>
          <w:rFonts w:hint="eastAsia" w:ascii="宋体" w:hAnsi="宋体"/>
          <w:szCs w:val="21"/>
        </w:rPr>
        <w:t>本文件起草单位：中国汽车技术研究中心有限公司、中国公路车辆机械有限公司、宇通客车股份有限公司、招商局检测车辆技术有限公司、襄阳达安汽车检测中心有限公司、中国汽车工程研究院有限公司、安徽安凯汽车股份有限公司、江苏雅式科技有限公司、厦门金龙旅行车有限公司、中通客车股份有限公司、龙海市九龙座椅有限公司。</w:t>
      </w:r>
      <w:r>
        <w:rPr>
          <w:rFonts w:hint="eastAsia" w:ascii="宋体" w:hAnsi="宋体"/>
          <w:szCs w:val="21"/>
        </w:rPr>
        <w:tab/>
      </w:r>
    </w:p>
    <w:p>
      <w:pPr>
        <w:spacing w:line="400" w:lineRule="exact"/>
        <w:ind w:firstLine="420" w:firstLineChars="200"/>
        <w:rPr>
          <w:rFonts w:hint="eastAsia" w:ascii="宋体" w:hAnsi="宋体"/>
          <w:szCs w:val="21"/>
        </w:rPr>
      </w:pPr>
      <w:r>
        <w:rPr>
          <w:rFonts w:hint="eastAsia" w:ascii="宋体" w:hAnsi="宋体"/>
          <w:szCs w:val="21"/>
        </w:rPr>
        <w:t>主要起草人：李维菁、娄磊、崔春坡、王中华、覃祯员、于雅丽、陈燕、李永刚、赵坤、朱洪雷、李磊、袁春红。</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r>
        <w:rPr>
          <w:rFonts w:hint="eastAsia" w:eastAsia="黑体"/>
          <w:bCs/>
          <w:color w:val="000000"/>
          <w:kern w:val="0"/>
          <w:sz w:val="24"/>
          <w:lang w:val="en-US" w:eastAsia="zh-CN"/>
        </w:rPr>
        <w:t>二、标准编制原则和主要技术变更</w:t>
      </w:r>
    </w:p>
    <w:p>
      <w:pPr>
        <w:autoSpaceDE w:val="0"/>
        <w:autoSpaceDN w:val="0"/>
        <w:adjustRightInd w:val="0"/>
        <w:spacing w:line="400" w:lineRule="exact"/>
        <w:ind w:firstLine="422" w:firstLineChars="200"/>
        <w:jc w:val="left"/>
        <w:outlineLvl w:val="0"/>
        <w:rPr>
          <w:rFonts w:hint="eastAsia"/>
          <w:b/>
          <w:szCs w:val="21"/>
        </w:rPr>
      </w:pPr>
      <w:r>
        <w:rPr>
          <w:rFonts w:hint="eastAsia"/>
          <w:b/>
          <w:szCs w:val="21"/>
          <w:lang w:eastAsia="zh-CN"/>
        </w:rPr>
        <w:t>（</w:t>
      </w:r>
      <w:r>
        <w:rPr>
          <w:rFonts w:hint="eastAsia"/>
          <w:b/>
          <w:szCs w:val="21"/>
          <w:lang w:val="en-US" w:eastAsia="zh-CN"/>
        </w:rPr>
        <w:t>一</w:t>
      </w:r>
      <w:r>
        <w:rPr>
          <w:rFonts w:hint="eastAsia"/>
          <w:b/>
          <w:szCs w:val="21"/>
          <w:lang w:eastAsia="zh-CN"/>
        </w:rPr>
        <w:t>）</w:t>
      </w:r>
      <w:r>
        <w:rPr>
          <w:rFonts w:hint="eastAsia"/>
          <w:b/>
          <w:szCs w:val="21"/>
        </w:rPr>
        <w:t>编制原则</w:t>
      </w:r>
    </w:p>
    <w:p>
      <w:pPr>
        <w:spacing w:line="400" w:lineRule="exact"/>
        <w:ind w:firstLine="420" w:firstLineChars="200"/>
        <w:rPr>
          <w:rFonts w:hint="eastAsia" w:ascii="宋体" w:hAnsi="宋体"/>
          <w:szCs w:val="21"/>
        </w:rPr>
      </w:pPr>
      <w:r>
        <w:rPr>
          <w:rFonts w:hint="eastAsia" w:ascii="宋体" w:hAnsi="宋体"/>
          <w:szCs w:val="21"/>
        </w:rPr>
        <w:t xml:space="preserve">本文件的修订以解决现有问题，适应行业技术发展需求为核心目的，并主要遵从以下四方面原则： </w:t>
      </w:r>
    </w:p>
    <w:p>
      <w:pPr>
        <w:spacing w:line="400" w:lineRule="exact"/>
        <w:ind w:firstLine="420" w:firstLineChars="200"/>
        <w:rPr>
          <w:rFonts w:hint="eastAsia" w:ascii="宋体" w:hAnsi="宋体"/>
          <w:szCs w:val="21"/>
        </w:rPr>
      </w:pPr>
      <w:r>
        <w:rPr>
          <w:rFonts w:hint="eastAsia" w:ascii="宋体" w:hAnsi="宋体"/>
          <w:szCs w:val="21"/>
        </w:rPr>
        <w:t>保持先进性原则，本标准充分研究了国内外行业产品和测试技术发展现状，采用最为先进的Q系列儿童假人替代已经被逐步淘汰的P系列儿童假人。</w:t>
      </w:r>
    </w:p>
    <w:p>
      <w:pPr>
        <w:spacing w:line="400" w:lineRule="exact"/>
        <w:ind w:firstLine="420" w:firstLineChars="200"/>
        <w:rPr>
          <w:rFonts w:hint="eastAsia" w:ascii="宋体" w:hAnsi="宋体"/>
          <w:szCs w:val="21"/>
        </w:rPr>
      </w:pPr>
      <w:r>
        <w:rPr>
          <w:rFonts w:hint="eastAsia" w:ascii="宋体" w:hAnsi="宋体"/>
          <w:szCs w:val="21"/>
        </w:rPr>
        <w:t>提高客观性原则，抗后倾静态试验无法体现实际追尾事故中的防护性能，现有动态试验的座椅间距与实际车辆内座椅布置差异较大，这些都导致了标准工况与现实情况的偏离，标准修订中本着标准工况能客观表征现实世界的原则，进行了标准工况的调整。</w:t>
      </w:r>
    </w:p>
    <w:p>
      <w:pPr>
        <w:spacing w:line="400" w:lineRule="exact"/>
        <w:ind w:firstLine="420" w:firstLineChars="200"/>
        <w:rPr>
          <w:rFonts w:hint="eastAsia" w:ascii="宋体" w:hAnsi="宋体"/>
          <w:szCs w:val="21"/>
        </w:rPr>
      </w:pPr>
      <w:r>
        <w:rPr>
          <w:rFonts w:hint="eastAsia" w:ascii="宋体" w:hAnsi="宋体"/>
          <w:szCs w:val="21"/>
        </w:rPr>
        <w:t>注重实用性原则，充分解决现行标准中发现的标准描述不清晰、内容不明确等问题；试验方法要利于操作，便于执行。</w:t>
      </w:r>
    </w:p>
    <w:p>
      <w:pPr>
        <w:spacing w:line="400" w:lineRule="exact"/>
        <w:ind w:firstLine="420" w:firstLineChars="200"/>
        <w:rPr>
          <w:rFonts w:hint="eastAsia" w:ascii="宋体" w:hAnsi="宋体"/>
          <w:szCs w:val="21"/>
        </w:rPr>
      </w:pPr>
      <w:r>
        <w:rPr>
          <w:rFonts w:hint="eastAsia" w:ascii="宋体" w:hAnsi="宋体"/>
          <w:szCs w:val="21"/>
        </w:rPr>
        <w:t>编写规范性原则，本标准根据《中华人民共和国标准化法》及相关法律、规章，按照GB/T 1.1-2020《标准化工作导则 第1部分：标准化文件的结构和起草规则》要求进行编制。</w:t>
      </w:r>
    </w:p>
    <w:p>
      <w:pPr>
        <w:autoSpaceDE w:val="0"/>
        <w:autoSpaceDN w:val="0"/>
        <w:adjustRightInd w:val="0"/>
        <w:spacing w:line="400" w:lineRule="exact"/>
        <w:ind w:firstLine="422" w:firstLineChars="200"/>
        <w:jc w:val="left"/>
        <w:outlineLvl w:val="0"/>
        <w:rPr>
          <w:rFonts w:hint="eastAsia"/>
          <w:b/>
          <w:szCs w:val="21"/>
          <w:lang w:eastAsia="zh-CN"/>
        </w:rPr>
      </w:pPr>
      <w:r>
        <w:rPr>
          <w:rFonts w:hint="eastAsia"/>
          <w:b/>
          <w:szCs w:val="21"/>
          <w:lang w:eastAsia="zh-CN"/>
        </w:rPr>
        <w:t>（</w:t>
      </w:r>
      <w:r>
        <w:rPr>
          <w:rFonts w:hint="eastAsia"/>
          <w:b/>
          <w:szCs w:val="21"/>
          <w:lang w:val="en-US" w:eastAsia="zh-CN"/>
        </w:rPr>
        <w:t>二</w:t>
      </w:r>
      <w:r>
        <w:rPr>
          <w:rFonts w:hint="eastAsia"/>
          <w:b/>
          <w:szCs w:val="21"/>
          <w:lang w:eastAsia="zh-CN"/>
        </w:rPr>
        <w:t>）主要技术要求的依据及理由</w:t>
      </w:r>
    </w:p>
    <w:p>
      <w:pPr>
        <w:numPr>
          <w:ilvl w:val="2"/>
          <w:numId w:val="5"/>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试验座椅间距的调整</w:t>
      </w:r>
    </w:p>
    <w:p>
      <w:pPr>
        <w:spacing w:line="400" w:lineRule="exact"/>
        <w:ind w:firstLine="420" w:firstLineChars="200"/>
        <w:rPr>
          <w:rFonts w:hint="eastAsia" w:ascii="宋体" w:hAnsi="宋体"/>
          <w:szCs w:val="21"/>
        </w:rPr>
      </w:pPr>
      <w:r>
        <w:rPr>
          <w:rFonts w:hint="eastAsia" w:ascii="宋体" w:hAnsi="宋体"/>
          <w:szCs w:val="21"/>
        </w:rPr>
        <w:t>更改了前碰动态试验中第一排座椅和第二排座椅的间距，幼儿专用校车座椅为530mm、小学生专用校车座椅为580mm、中小学生专用校车座椅为680mm，座椅间距误差不大于1%。制造厂也可选择，按照车辆上的最小座椅间距进行试验。</w:t>
      </w:r>
    </w:p>
    <w:p>
      <w:pPr>
        <w:spacing w:line="400" w:lineRule="exact"/>
        <w:ind w:firstLine="420" w:firstLineChars="200"/>
        <w:rPr>
          <w:rFonts w:hint="eastAsia" w:ascii="宋体" w:hAnsi="宋体"/>
          <w:szCs w:val="21"/>
        </w:rPr>
      </w:pPr>
      <w:r>
        <w:rPr>
          <w:rFonts w:hint="eastAsia" w:ascii="宋体" w:hAnsi="宋体"/>
          <w:szCs w:val="21"/>
        </w:rPr>
        <w:t>理由：在GB 24406-2012中，幼儿专用校车座椅和小学生专用校车座椅间距为690mm，中小学专用校车座椅间距为780mm，且没有按照车辆实际间距进行试验的选择。通过现有产品数据调研，共统计了24组校车座椅的间距数据，见表1，其中各类座椅的间距最大值也未达到GB 24406-2012中设定的值，显然这样的试验条件不能代表车辆实际情况。因此对照统计平均值和GB 24407-2012中要求的座椅间距最小值，最终将试验座椅间距设定为“GB 24407-2012中要求的座椅间距最小值+30mm”。同时增加使用实际装车距离进行试验的选项，如果存在多种间距，可使用最小间距进行试验。</w:t>
      </w:r>
    </w:p>
    <w:p>
      <w:pPr>
        <w:adjustRightInd w:val="0"/>
        <w:snapToGrid w:val="0"/>
        <w:spacing w:line="300" w:lineRule="auto"/>
        <w:jc w:val="center"/>
        <w:rPr>
          <w:rFonts w:ascii="黑体" w:hAnsi="黑体" w:eastAsia="黑体"/>
          <w:szCs w:val="21"/>
        </w:rPr>
      </w:pPr>
      <w:r>
        <w:rPr>
          <w:rFonts w:hint="eastAsia" w:ascii="黑体" w:hAnsi="黑体" w:eastAsia="黑体"/>
          <w:szCs w:val="21"/>
        </w:rPr>
        <w:t>表1</w:t>
      </w:r>
      <w:r>
        <w:rPr>
          <w:rFonts w:ascii="黑体" w:hAnsi="黑体" w:eastAsia="黑体"/>
          <w:szCs w:val="21"/>
        </w:rPr>
        <w:t xml:space="preserve">  </w:t>
      </w:r>
      <w:r>
        <w:rPr>
          <w:rFonts w:hint="eastAsia" w:ascii="黑体" w:hAnsi="黑体" w:eastAsia="黑体"/>
          <w:szCs w:val="21"/>
        </w:rPr>
        <w:t>座椅间距统计表</w:t>
      </w:r>
    </w:p>
    <w:tbl>
      <w:tblPr>
        <w:tblStyle w:val="14"/>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756"/>
        <w:gridCol w:w="756"/>
        <w:gridCol w:w="756"/>
        <w:gridCol w:w="1386"/>
        <w:gridCol w:w="147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座椅间距</w:t>
            </w:r>
            <w:r>
              <w:rPr>
                <w:rFonts w:ascii="宋体" w:hAnsi="宋体"/>
                <w:sz w:val="18"/>
                <w:szCs w:val="18"/>
              </w:rPr>
              <w:t>/mm</w:t>
            </w:r>
          </w:p>
        </w:tc>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统计</w:t>
            </w:r>
            <w:r>
              <w:rPr>
                <w:rFonts w:ascii="宋体" w:hAnsi="宋体"/>
                <w:sz w:val="18"/>
                <w:szCs w:val="18"/>
              </w:rPr>
              <w:t>-</w:t>
            </w:r>
          </w:p>
          <w:p>
            <w:pPr>
              <w:adjustRightInd w:val="0"/>
              <w:snapToGrid w:val="0"/>
              <w:spacing w:line="300" w:lineRule="auto"/>
              <w:jc w:val="center"/>
              <w:rPr>
                <w:rFonts w:ascii="宋体" w:hAnsi="宋体"/>
                <w:sz w:val="18"/>
                <w:szCs w:val="18"/>
              </w:rPr>
            </w:pPr>
            <w:r>
              <w:rPr>
                <w:rFonts w:hint="eastAsia" w:ascii="宋体" w:hAnsi="宋体"/>
                <w:sz w:val="18"/>
                <w:szCs w:val="18"/>
              </w:rPr>
              <w:t>最小值</w:t>
            </w:r>
          </w:p>
        </w:tc>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统计</w:t>
            </w:r>
            <w:r>
              <w:rPr>
                <w:rFonts w:ascii="宋体" w:hAnsi="宋体"/>
                <w:sz w:val="18"/>
                <w:szCs w:val="18"/>
              </w:rPr>
              <w:t>-</w:t>
            </w:r>
          </w:p>
          <w:p>
            <w:pPr>
              <w:adjustRightInd w:val="0"/>
              <w:snapToGrid w:val="0"/>
              <w:spacing w:line="300" w:lineRule="auto"/>
              <w:jc w:val="center"/>
              <w:rPr>
                <w:rFonts w:ascii="宋体" w:hAnsi="宋体"/>
                <w:sz w:val="18"/>
                <w:szCs w:val="18"/>
              </w:rPr>
            </w:pPr>
            <w:r>
              <w:rPr>
                <w:rFonts w:hint="eastAsia" w:ascii="宋体" w:hAnsi="宋体"/>
                <w:sz w:val="18"/>
                <w:szCs w:val="18"/>
              </w:rPr>
              <w:t>平均值</w:t>
            </w:r>
          </w:p>
        </w:tc>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统计</w:t>
            </w:r>
            <w:r>
              <w:rPr>
                <w:rFonts w:ascii="宋体" w:hAnsi="宋体"/>
                <w:sz w:val="18"/>
                <w:szCs w:val="18"/>
              </w:rPr>
              <w:t>-</w:t>
            </w:r>
          </w:p>
          <w:p>
            <w:pPr>
              <w:adjustRightInd w:val="0"/>
              <w:snapToGrid w:val="0"/>
              <w:spacing w:line="300" w:lineRule="auto"/>
              <w:jc w:val="center"/>
              <w:rPr>
                <w:rFonts w:ascii="宋体" w:hAnsi="宋体"/>
                <w:sz w:val="18"/>
                <w:szCs w:val="18"/>
              </w:rPr>
            </w:pPr>
            <w:r>
              <w:rPr>
                <w:rFonts w:hint="eastAsia" w:ascii="宋体" w:hAnsi="宋体"/>
                <w:sz w:val="18"/>
                <w:szCs w:val="18"/>
              </w:rPr>
              <w:t>最大值</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GB 24406</w:t>
            </w:r>
            <w:r>
              <w:rPr>
                <w:rFonts w:hint="eastAsia" w:ascii="宋体" w:hAnsi="宋体"/>
                <w:sz w:val="18"/>
                <w:szCs w:val="18"/>
              </w:rPr>
              <w:t>-</w:t>
            </w:r>
            <w:r>
              <w:rPr>
                <w:rFonts w:ascii="宋体" w:hAnsi="宋体"/>
                <w:sz w:val="18"/>
                <w:szCs w:val="18"/>
              </w:rPr>
              <w:t>2012</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GB 24407</w:t>
            </w:r>
            <w:r>
              <w:rPr>
                <w:rFonts w:hint="eastAsia" w:ascii="宋体" w:hAnsi="宋体"/>
                <w:sz w:val="18"/>
                <w:szCs w:val="18"/>
              </w:rPr>
              <w:t>-</w:t>
            </w:r>
            <w:r>
              <w:rPr>
                <w:rFonts w:ascii="宋体" w:hAnsi="宋体"/>
                <w:sz w:val="18"/>
                <w:szCs w:val="18"/>
              </w:rPr>
              <w:t>2012</w:t>
            </w:r>
          </w:p>
          <w:p>
            <w:pPr>
              <w:adjustRightInd w:val="0"/>
              <w:snapToGrid w:val="0"/>
              <w:spacing w:line="300" w:lineRule="auto"/>
              <w:jc w:val="center"/>
              <w:rPr>
                <w:rFonts w:ascii="宋体" w:hAnsi="宋体"/>
                <w:sz w:val="18"/>
                <w:szCs w:val="18"/>
              </w:rPr>
            </w:pPr>
            <w:r>
              <w:rPr>
                <w:rFonts w:hint="eastAsia" w:ascii="宋体" w:hAnsi="宋体"/>
                <w:sz w:val="18"/>
                <w:szCs w:val="18"/>
              </w:rPr>
              <w:t>中要求的最小值</w:t>
            </w:r>
          </w:p>
        </w:tc>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修订计划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幼儿专用校车座椅</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500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536</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660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690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500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小学生专用校车座椅</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550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580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600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690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550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0" w:type="auto"/>
            <w:vAlign w:val="center"/>
          </w:tcPr>
          <w:p>
            <w:pPr>
              <w:adjustRightInd w:val="0"/>
              <w:snapToGrid w:val="0"/>
              <w:spacing w:line="300" w:lineRule="auto"/>
              <w:jc w:val="center"/>
              <w:rPr>
                <w:rFonts w:ascii="宋体" w:hAnsi="宋体"/>
                <w:sz w:val="18"/>
                <w:szCs w:val="18"/>
              </w:rPr>
            </w:pPr>
            <w:r>
              <w:rPr>
                <w:rFonts w:hint="eastAsia" w:ascii="宋体" w:hAnsi="宋体"/>
                <w:sz w:val="18"/>
                <w:szCs w:val="18"/>
              </w:rPr>
              <w:t>中小学生专用校车座椅</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650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669</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750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780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650</w:t>
            </w:r>
          </w:p>
        </w:tc>
        <w:tc>
          <w:tcPr>
            <w:tcW w:w="0" w:type="auto"/>
            <w:vAlign w:val="center"/>
          </w:tcPr>
          <w:p>
            <w:pPr>
              <w:adjustRightInd w:val="0"/>
              <w:snapToGrid w:val="0"/>
              <w:spacing w:line="300" w:lineRule="auto"/>
              <w:jc w:val="center"/>
              <w:rPr>
                <w:rFonts w:ascii="宋体" w:hAnsi="宋体"/>
                <w:sz w:val="18"/>
                <w:szCs w:val="18"/>
              </w:rPr>
            </w:pPr>
            <w:r>
              <w:rPr>
                <w:rFonts w:ascii="宋体" w:hAnsi="宋体"/>
                <w:sz w:val="18"/>
                <w:szCs w:val="18"/>
              </w:rPr>
              <w:t>680</w:t>
            </w:r>
          </w:p>
        </w:tc>
      </w:tr>
    </w:tbl>
    <w:p>
      <w:pPr>
        <w:adjustRightInd w:val="0"/>
        <w:snapToGrid w:val="0"/>
        <w:spacing w:line="300" w:lineRule="auto"/>
        <w:ind w:firstLine="480" w:firstLineChars="200"/>
        <w:rPr>
          <w:rFonts w:ascii="宋体" w:hAnsi="宋体"/>
          <w:sz w:val="24"/>
        </w:rPr>
      </w:pPr>
    </w:p>
    <w:p>
      <w:pPr>
        <w:numPr>
          <w:ilvl w:val="2"/>
          <w:numId w:val="5"/>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5th假人伤害指标限值调整</w:t>
      </w:r>
    </w:p>
    <w:p>
      <w:pPr>
        <w:spacing w:line="400" w:lineRule="exact"/>
        <w:ind w:firstLine="420" w:firstLineChars="200"/>
        <w:rPr>
          <w:rFonts w:hint="eastAsia" w:ascii="宋体" w:hAnsi="宋体"/>
          <w:szCs w:val="21"/>
        </w:rPr>
      </w:pPr>
      <w:r>
        <w:rPr>
          <w:rFonts w:hint="eastAsia" w:ascii="宋体" w:hAnsi="宋体"/>
          <w:szCs w:val="21"/>
        </w:rPr>
        <w:t>将混合III型第5百分位假人进行试验时，腿部伤害指标（FAC）应小于10kN调整为6.8 kN；增加颈部伤害指标要求， Nij应小于1.0。</w:t>
      </w:r>
    </w:p>
    <w:p>
      <w:pPr>
        <w:spacing w:line="400" w:lineRule="exact"/>
        <w:ind w:firstLine="420" w:firstLineChars="200"/>
        <w:rPr>
          <w:rFonts w:hint="eastAsia" w:ascii="宋体" w:hAnsi="宋体"/>
          <w:szCs w:val="21"/>
        </w:rPr>
      </w:pPr>
      <w:r>
        <w:rPr>
          <w:rFonts w:hint="eastAsia" w:ascii="宋体" w:hAnsi="宋体"/>
          <w:szCs w:val="21"/>
        </w:rPr>
        <w:t>理由：GB 24406-2012中，对于5th假人的大腿压缩力要求FAC小于10kN是来源于UN R80，而UN R80中的10kN限值是针对50th假人的，而并非5th假人。并且自。公式1是50th假人大腿压缩力与AIS3+伤害概率的函数关系，公式2是5th假人大腿压缩力与AIS3+伤害概率的函数关系。利用公式1，可求得50th假人大腿压缩力为10kN时，其腿部AIS3+等级受伤概率为35%；再将其代入公式2，可求得腿部伤害概率35%对应的5th假人大腿压缩力为6.8kN。因此将标准中腿部伤害要求调整为腿部伤害指标FAC应小于6.8kN。</w:t>
      </w:r>
    </w:p>
    <w:p>
      <w:pPr>
        <w:adjustRightInd w:val="0"/>
        <w:snapToGrid w:val="0"/>
        <w:spacing w:line="300" w:lineRule="auto"/>
        <w:ind w:firstLine="480" w:firstLineChars="200"/>
        <w:rPr>
          <w:rFonts w:ascii="宋体" w:hAnsi="宋体"/>
          <w:sz w:val="24"/>
        </w:rPr>
      </w:pPr>
      <w:r>
        <w:rPr>
          <w:rFonts w:ascii="宋体" w:hAnsi="宋体"/>
          <w:sz w:val="24"/>
        </w:rPr>
        <w:drawing>
          <wp:inline distT="0" distB="0" distL="0" distR="0">
            <wp:extent cx="2159635" cy="389255"/>
            <wp:effectExtent l="0" t="0" r="0" b="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rcRect l="6094" t="21320" r="5539" b="20926"/>
                    <a:stretch>
                      <a:fillRect/>
                    </a:stretch>
                  </pic:blipFill>
                  <pic:spPr>
                    <a:xfrm>
                      <a:off x="0" y="0"/>
                      <a:ext cx="2160000" cy="389559"/>
                    </a:xfrm>
                    <a:prstGeom prst="rect">
                      <a:avLst/>
                    </a:prstGeom>
                    <a:noFill/>
                    <a:ln>
                      <a:noFill/>
                    </a:ln>
                  </pic:spPr>
                </pic:pic>
              </a:graphicData>
            </a:graphic>
          </wp:inline>
        </w:drawing>
      </w:r>
      <w:r>
        <w:rPr>
          <w:rFonts w:hint="eastAsia" w:ascii="宋体" w:hAnsi="宋体"/>
          <w:sz w:val="24"/>
        </w:rPr>
        <w:t>————————————公式1</w:t>
      </w:r>
    </w:p>
    <w:p>
      <w:pPr>
        <w:adjustRightInd w:val="0"/>
        <w:snapToGrid w:val="0"/>
        <w:spacing w:line="300" w:lineRule="auto"/>
        <w:ind w:firstLine="480" w:firstLineChars="200"/>
        <w:rPr>
          <w:rFonts w:ascii="宋体" w:hAnsi="宋体"/>
          <w:sz w:val="24"/>
        </w:rPr>
      </w:pPr>
      <w:r>
        <w:rPr>
          <w:rFonts w:ascii="宋体" w:hAnsi="宋体"/>
          <w:sz w:val="24"/>
        </w:rPr>
        <w:drawing>
          <wp:inline distT="0" distB="0" distL="0" distR="0">
            <wp:extent cx="2159635" cy="411480"/>
            <wp:effectExtent l="0" t="0" r="0" b="762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l="7130" t="23781" r="5739" b="22107"/>
                    <a:stretch>
                      <a:fillRect/>
                    </a:stretch>
                  </pic:blipFill>
                  <pic:spPr>
                    <a:xfrm>
                      <a:off x="0" y="0"/>
                      <a:ext cx="2160000" cy="411870"/>
                    </a:xfrm>
                    <a:prstGeom prst="rect">
                      <a:avLst/>
                    </a:prstGeom>
                    <a:noFill/>
                    <a:ln>
                      <a:noFill/>
                    </a:ln>
                  </pic:spPr>
                </pic:pic>
              </a:graphicData>
            </a:graphic>
          </wp:inline>
        </w:drawing>
      </w:r>
      <w:r>
        <w:rPr>
          <w:rFonts w:hint="eastAsia" w:ascii="宋体" w:hAnsi="宋体"/>
          <w:sz w:val="24"/>
        </w:rPr>
        <w:t>————————————公式2</w:t>
      </w:r>
    </w:p>
    <w:p>
      <w:pPr>
        <w:spacing w:line="400" w:lineRule="exact"/>
        <w:ind w:firstLine="420" w:firstLineChars="200"/>
        <w:rPr>
          <w:rFonts w:hint="eastAsia" w:ascii="宋体" w:hAnsi="宋体"/>
          <w:szCs w:val="21"/>
        </w:rPr>
      </w:pPr>
      <w:r>
        <w:rPr>
          <w:rFonts w:hint="eastAsia" w:ascii="宋体" w:hAnsi="宋体"/>
          <w:szCs w:val="21"/>
        </w:rPr>
        <w:t>自GB 24406-2012实施以来，从试验结果来看，假人颈部伤害值颇高，颈部弯曲变形非常严重，如图1。为此本次修订增加了颈部伤害要求，采用颈部伤害指标Nij，其计算方法见公式3。Nij为1.0时，对应的AIS3+等级受伤概率为22%，对照UN R80中的伤害限值对应的受伤概率分别为头部13%、胸部22%、腿部35%，本标准将颈部伤害限值设定为受伤概率22%，比头部高、与胸部持平，是合理的。因此，将颈部伤害要求设定为Nij应小于1.0。</w:t>
      </w:r>
    </w:p>
    <w:p>
      <w:pPr>
        <w:adjustRightInd w:val="0"/>
        <w:snapToGrid w:val="0"/>
        <w:spacing w:line="300" w:lineRule="auto"/>
        <w:ind w:firstLine="480" w:firstLineChars="200"/>
        <w:rPr>
          <w:rFonts w:ascii="宋体" w:hAnsi="宋体"/>
          <w:sz w:val="24"/>
        </w:rPr>
      </w:pPr>
      <w:r>
        <w:rPr>
          <w:rFonts w:ascii="宋体" w:hAnsi="宋体"/>
          <w:sz w:val="24"/>
        </w:rPr>
        <w:drawing>
          <wp:inline distT="0" distB="0" distL="0" distR="0">
            <wp:extent cx="1409700" cy="395605"/>
            <wp:effectExtent l="0" t="0" r="0" b="4445"/>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10316" cy="396000"/>
                    </a:xfrm>
                    <a:prstGeom prst="rect">
                      <a:avLst/>
                    </a:prstGeom>
                    <a:noFill/>
                    <a:ln>
                      <a:noFill/>
                    </a:ln>
                  </pic:spPr>
                </pic:pic>
              </a:graphicData>
            </a:graphic>
          </wp:inline>
        </w:drawing>
      </w:r>
      <w:r>
        <w:rPr>
          <w:rFonts w:hint="eastAsia" w:ascii="宋体" w:hAnsi="宋体"/>
          <w:sz w:val="24"/>
        </w:rPr>
        <w:t>——————————————————公式</w:t>
      </w:r>
      <w:r>
        <w:rPr>
          <w:rFonts w:ascii="宋体" w:hAnsi="宋体"/>
          <w:sz w:val="24"/>
        </w:rPr>
        <w:t>3</w:t>
      </w:r>
    </w:p>
    <w:p>
      <w:pPr>
        <w:adjustRightInd w:val="0"/>
        <w:snapToGrid w:val="0"/>
        <w:spacing w:line="300" w:lineRule="auto"/>
        <w:jc w:val="center"/>
        <w:rPr>
          <w:rFonts w:ascii="宋体" w:hAnsi="宋体"/>
          <w:sz w:val="24"/>
        </w:rPr>
      </w:pPr>
      <w:r>
        <w:rPr>
          <w:rFonts w:ascii="宋体" w:hAnsi="宋体"/>
          <w:sz w:val="24"/>
        </w:rPr>
        <w:drawing>
          <wp:inline distT="0" distB="0" distL="0" distR="0">
            <wp:extent cx="4187190" cy="2061210"/>
            <wp:effectExtent l="0" t="0" r="381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87190" cy="2061210"/>
                    </a:xfrm>
                    <a:prstGeom prst="rect">
                      <a:avLst/>
                    </a:prstGeom>
                    <a:noFill/>
                  </pic:spPr>
                </pic:pic>
              </a:graphicData>
            </a:graphic>
          </wp:inline>
        </w:drawing>
      </w:r>
    </w:p>
    <w:p>
      <w:pPr>
        <w:adjustRightInd w:val="0"/>
        <w:snapToGrid w:val="0"/>
        <w:spacing w:line="300" w:lineRule="auto"/>
        <w:ind w:firstLine="420" w:firstLineChars="200"/>
        <w:jc w:val="center"/>
        <w:rPr>
          <w:rFonts w:ascii="黑体" w:hAnsi="黑体" w:eastAsia="黑体"/>
          <w:szCs w:val="21"/>
        </w:rPr>
      </w:pPr>
      <w:r>
        <w:rPr>
          <w:rFonts w:hint="eastAsia" w:ascii="黑体" w:hAnsi="黑体" w:eastAsia="黑体"/>
          <w:szCs w:val="21"/>
        </w:rPr>
        <w:t>图1</w:t>
      </w:r>
      <w:r>
        <w:rPr>
          <w:rFonts w:ascii="黑体" w:hAnsi="黑体" w:eastAsia="黑体"/>
          <w:szCs w:val="21"/>
        </w:rPr>
        <w:t xml:space="preserve">  </w:t>
      </w:r>
      <w:r>
        <w:rPr>
          <w:rFonts w:hint="eastAsia" w:ascii="黑体" w:hAnsi="黑体" w:eastAsia="黑体"/>
          <w:szCs w:val="21"/>
        </w:rPr>
        <w:t>碰撞过程中颈部变形情况</w:t>
      </w:r>
    </w:p>
    <w:p>
      <w:pPr>
        <w:adjustRightInd w:val="0"/>
        <w:snapToGrid w:val="0"/>
        <w:spacing w:line="300" w:lineRule="auto"/>
        <w:ind w:firstLine="480" w:firstLineChars="200"/>
        <w:rPr>
          <w:rFonts w:ascii="宋体" w:hAnsi="宋体"/>
          <w:sz w:val="24"/>
        </w:rPr>
      </w:pPr>
    </w:p>
    <w:p>
      <w:pPr>
        <w:numPr>
          <w:ilvl w:val="2"/>
          <w:numId w:val="5"/>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儿童假人变更</w:t>
      </w:r>
    </w:p>
    <w:p>
      <w:pPr>
        <w:spacing w:line="400" w:lineRule="exact"/>
        <w:ind w:firstLine="420" w:firstLineChars="200"/>
        <w:rPr>
          <w:rFonts w:hint="eastAsia" w:ascii="宋体" w:hAnsi="宋体"/>
          <w:szCs w:val="21"/>
        </w:rPr>
      </w:pPr>
      <w:r>
        <w:rPr>
          <w:rFonts w:hint="eastAsia" w:ascii="宋体" w:hAnsi="宋体"/>
          <w:szCs w:val="21"/>
        </w:rPr>
        <w:t>使用生物放生度更高的Q系列6岁儿童假人替换P系列6岁儿童假人。并使用适合Q6假人的伤害限值，头部、胸部伤害指标不变，颈部增加伤害指标Nij，限值为1.0。</w:t>
      </w:r>
    </w:p>
    <w:p>
      <w:pPr>
        <w:spacing w:line="400" w:lineRule="exact"/>
        <w:ind w:firstLine="420" w:firstLineChars="200"/>
        <w:rPr>
          <w:rFonts w:hint="eastAsia" w:ascii="宋体" w:hAnsi="宋体"/>
          <w:szCs w:val="21"/>
        </w:rPr>
      </w:pPr>
      <w:r>
        <w:rPr>
          <w:rFonts w:hint="eastAsia" w:ascii="宋体" w:hAnsi="宋体"/>
          <w:szCs w:val="21"/>
        </w:rPr>
        <w:t>理由：通过历史积累数据分析，对比了相同工况下P系列假人的伤害响应和Q系列假人的伤害响应，通过线性回归分析提取了P、Q假人头部加速度比例系数1.0023、胸部加速度比例系数0.9051。结果表明P、Q假人这些伤害指标没有明显差异，因此沿用原标准中的伤害限值要求。增加颈部伤害指标Nij理由同5th假人。</w:t>
      </w:r>
    </w:p>
    <w:p>
      <w:pPr>
        <w:adjustRightInd w:val="0"/>
        <w:snapToGrid w:val="0"/>
        <w:spacing w:line="300" w:lineRule="auto"/>
        <w:rPr>
          <w:rFonts w:ascii="宋体" w:hAnsi="宋体"/>
          <w:sz w:val="24"/>
        </w:rPr>
      </w:pPr>
      <w:r>
        <w:rPr>
          <w:rFonts w:ascii="宋体" w:hAnsi="宋体"/>
          <w:sz w:val="24"/>
        </w:rPr>
        <w:drawing>
          <wp:inline distT="0" distB="0" distL="0" distR="0">
            <wp:extent cx="2519680" cy="1619885"/>
            <wp:effectExtent l="0" t="0" r="0" b="0"/>
            <wp:docPr id="20" name="图片 7"/>
            <wp:cNvGraphicFramePr/>
            <a:graphic xmlns:a="http://schemas.openxmlformats.org/drawingml/2006/main">
              <a:graphicData uri="http://schemas.openxmlformats.org/drawingml/2006/picture">
                <pic:pic xmlns:pic="http://schemas.openxmlformats.org/drawingml/2006/picture">
                  <pic:nvPicPr>
                    <pic:cNvPr id="20" name="图片 7"/>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r>
        <w:rPr>
          <w:rFonts w:hint="eastAsia" w:ascii="宋体" w:hAnsi="宋体"/>
          <w:sz w:val="24"/>
        </w:rPr>
        <w:t xml:space="preserve"> </w:t>
      </w:r>
      <w:r>
        <w:rPr>
          <w:rFonts w:ascii="宋体" w:hAnsi="宋体"/>
          <w:sz w:val="24"/>
        </w:rPr>
        <w:t xml:space="preserve"> </w:t>
      </w:r>
      <w:r>
        <w:rPr>
          <w:rFonts w:ascii="宋体" w:hAnsi="宋体"/>
          <w:sz w:val="24"/>
        </w:rPr>
        <w:drawing>
          <wp:inline distT="0" distB="0" distL="0" distR="0">
            <wp:extent cx="2519680" cy="1619885"/>
            <wp:effectExtent l="0" t="0" r="0" b="0"/>
            <wp:docPr id="21" name="图片 9"/>
            <wp:cNvGraphicFramePr/>
            <a:graphic xmlns:a="http://schemas.openxmlformats.org/drawingml/2006/main">
              <a:graphicData uri="http://schemas.openxmlformats.org/drawingml/2006/picture">
                <pic:pic xmlns:pic="http://schemas.openxmlformats.org/drawingml/2006/picture">
                  <pic:nvPicPr>
                    <pic:cNvPr id="21" name="图片 9"/>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20000" cy="1620000"/>
                    </a:xfrm>
                    <a:prstGeom prst="rect">
                      <a:avLst/>
                    </a:prstGeom>
                    <a:noFill/>
                  </pic:spPr>
                </pic:pic>
              </a:graphicData>
            </a:graphic>
          </wp:inline>
        </w:drawing>
      </w:r>
    </w:p>
    <w:p>
      <w:pPr>
        <w:adjustRightInd w:val="0"/>
        <w:snapToGrid w:val="0"/>
        <w:spacing w:line="300" w:lineRule="auto"/>
        <w:ind w:firstLine="420" w:firstLineChars="200"/>
        <w:jc w:val="center"/>
        <w:rPr>
          <w:rFonts w:ascii="黑体" w:hAnsi="黑体" w:eastAsia="黑体"/>
          <w:szCs w:val="21"/>
        </w:rPr>
      </w:pPr>
      <w:r>
        <w:rPr>
          <w:rFonts w:hint="eastAsia" w:ascii="黑体" w:hAnsi="黑体" w:eastAsia="黑体"/>
          <w:szCs w:val="21"/>
        </w:rPr>
        <w:t>图2</w:t>
      </w:r>
      <w:r>
        <w:rPr>
          <w:rFonts w:ascii="黑体" w:hAnsi="黑体" w:eastAsia="黑体"/>
          <w:szCs w:val="21"/>
        </w:rPr>
        <w:t xml:space="preserve">  </w:t>
      </w:r>
      <w:r>
        <w:rPr>
          <w:rFonts w:hint="eastAsia" w:ascii="黑体" w:hAnsi="黑体" w:eastAsia="黑体"/>
          <w:szCs w:val="21"/>
        </w:rPr>
        <w:t>P、Q假人伤害关联关系</w:t>
      </w:r>
    </w:p>
    <w:p>
      <w:pPr>
        <w:adjustRightInd w:val="0"/>
        <w:snapToGrid w:val="0"/>
        <w:spacing w:line="300" w:lineRule="auto"/>
        <w:ind w:firstLine="480" w:firstLineChars="200"/>
        <w:rPr>
          <w:rFonts w:ascii="宋体" w:hAnsi="宋体"/>
          <w:sz w:val="24"/>
        </w:rPr>
      </w:pPr>
    </w:p>
    <w:p>
      <w:pPr>
        <w:numPr>
          <w:ilvl w:val="2"/>
          <w:numId w:val="5"/>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后碰动态试验方法及性能要求</w:t>
      </w:r>
    </w:p>
    <w:p>
      <w:pPr>
        <w:spacing w:line="400" w:lineRule="exact"/>
        <w:ind w:firstLine="420" w:firstLineChars="200"/>
        <w:rPr>
          <w:rFonts w:hint="eastAsia" w:ascii="宋体" w:hAnsi="宋体"/>
          <w:szCs w:val="21"/>
        </w:rPr>
      </w:pPr>
      <w:r>
        <w:rPr>
          <w:rFonts w:hint="eastAsia" w:ascii="宋体" w:hAnsi="宋体"/>
          <w:szCs w:val="21"/>
        </w:rPr>
        <w:t>将抗后倾动态试验变为后碰动态试验（见GB 24406-202X中5.2），配套调整相应的性能要求（见GB 24406-202X中4.1.3）。</w:t>
      </w:r>
    </w:p>
    <w:p>
      <w:pPr>
        <w:spacing w:line="400" w:lineRule="exact"/>
        <w:ind w:firstLine="420" w:firstLineChars="200"/>
        <w:rPr>
          <w:rFonts w:hint="eastAsia" w:ascii="宋体" w:hAnsi="宋体"/>
          <w:szCs w:val="21"/>
        </w:rPr>
      </w:pPr>
      <w:r>
        <w:rPr>
          <w:rFonts w:hint="eastAsia" w:ascii="宋体" w:hAnsi="宋体"/>
          <w:szCs w:val="21"/>
        </w:rPr>
        <w:t>理由：静态试验不能体现实际碰撞中动态过程的性能，已经成为共识。在GB 15083、GB 13057等标准中均已将静态试验方法删除。本次修订，根据输入能量和座椅产生的应力应变等效的原则，将静态试验方法转化为动态试验方法；根据输出结果等效的原则，将抗后倾要求转化为后碰性能要求。总体而言，本次修订只是试验形态的调整，试验强度并未提升。</w:t>
      </w:r>
    </w:p>
    <w:p>
      <w:pPr>
        <w:spacing w:line="400" w:lineRule="exact"/>
        <w:ind w:firstLine="420" w:firstLineChars="200"/>
        <w:rPr>
          <w:rFonts w:hint="eastAsia" w:ascii="宋体" w:hAnsi="宋体"/>
          <w:szCs w:val="21"/>
        </w:rPr>
      </w:pPr>
      <w:r>
        <w:rPr>
          <w:rFonts w:hint="eastAsia" w:ascii="宋体" w:hAnsi="宋体"/>
          <w:szCs w:val="21"/>
        </w:rPr>
        <w:t>后碰动态试验的关键参数确定是通过CAE仿真的手段，如图2，对比不同波形和静态方法下座椅吸收的能力以及座椅最大应变、最大应力，结果见表2。据此确定使用FMVSS202a和全球技术法规GTR No.7 phase1中规定的加速度波形乘以1.2倍，作为后碰动态试验的输入条件。</w:t>
      </w:r>
    </w:p>
    <w:p>
      <w:pPr>
        <w:adjustRightInd w:val="0"/>
        <w:snapToGrid w:val="0"/>
        <w:spacing w:line="300" w:lineRule="auto"/>
        <w:jc w:val="center"/>
        <w:rPr>
          <w:rFonts w:ascii="宋体" w:hAnsi="宋体"/>
          <w:sz w:val="24"/>
        </w:rPr>
      </w:pPr>
      <w:r>
        <w:rPr>
          <w:rFonts w:ascii="宋体" w:hAnsi="宋体"/>
          <w:sz w:val="24"/>
        </w:rPr>
        <w:drawing>
          <wp:inline distT="0" distB="0" distL="0" distR="0">
            <wp:extent cx="3401695" cy="2482215"/>
            <wp:effectExtent l="0" t="0" r="8255"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5480" cy="2492178"/>
                    </a:xfrm>
                    <a:prstGeom prst="rect">
                      <a:avLst/>
                    </a:prstGeom>
                    <a:noFill/>
                    <a:ln>
                      <a:noFill/>
                    </a:ln>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图</w:t>
      </w:r>
      <w:r>
        <w:rPr>
          <w:rFonts w:ascii="黑体" w:hAnsi="黑体" w:eastAsia="黑体"/>
          <w:szCs w:val="21"/>
        </w:rPr>
        <w:t xml:space="preserve">2  </w:t>
      </w:r>
      <w:r>
        <w:rPr>
          <w:rFonts w:hint="eastAsia" w:ascii="黑体" w:hAnsi="黑体" w:eastAsia="黑体"/>
          <w:szCs w:val="21"/>
        </w:rPr>
        <w:t>后碰动态试验CAE仿真模型</w:t>
      </w:r>
    </w:p>
    <w:p>
      <w:pPr>
        <w:adjustRightInd w:val="0"/>
        <w:snapToGrid w:val="0"/>
        <w:spacing w:line="300" w:lineRule="auto"/>
        <w:ind w:firstLine="420" w:firstLineChars="200"/>
        <w:jc w:val="center"/>
        <w:rPr>
          <w:rFonts w:ascii="黑体" w:hAnsi="黑体" w:eastAsia="黑体"/>
          <w:szCs w:val="21"/>
        </w:rPr>
      </w:pPr>
    </w:p>
    <w:p>
      <w:pPr>
        <w:adjustRightInd w:val="0"/>
        <w:snapToGrid w:val="0"/>
        <w:spacing w:line="300" w:lineRule="auto"/>
        <w:ind w:firstLine="420" w:firstLineChars="200"/>
        <w:jc w:val="center"/>
        <w:rPr>
          <w:rFonts w:ascii="黑体" w:hAnsi="黑体" w:eastAsia="黑体"/>
          <w:szCs w:val="21"/>
        </w:rPr>
      </w:pPr>
      <w:r>
        <w:rPr>
          <w:rFonts w:hint="eastAsia" w:ascii="黑体" w:hAnsi="黑体" w:eastAsia="黑体"/>
          <w:szCs w:val="21"/>
        </w:rPr>
        <w:t>表2</w:t>
      </w:r>
      <w:r>
        <w:rPr>
          <w:rFonts w:ascii="黑体" w:hAnsi="黑体" w:eastAsia="黑体"/>
          <w:szCs w:val="21"/>
        </w:rPr>
        <w:t xml:space="preserve">  </w:t>
      </w:r>
      <w:r>
        <w:rPr>
          <w:rFonts w:hint="eastAsia" w:ascii="黑体" w:hAnsi="黑体" w:eastAsia="黑体"/>
          <w:szCs w:val="21"/>
        </w:rPr>
        <w:t>后碰仿真数据表</w:t>
      </w:r>
    </w:p>
    <w:tbl>
      <w:tblPr>
        <w:tblStyle w:val="14"/>
        <w:tblW w:w="8616"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4" w:type="dxa"/>
            <w:vAlign w:val="center"/>
          </w:tcPr>
          <w:p>
            <w:pPr>
              <w:adjustRightInd w:val="0"/>
              <w:snapToGrid w:val="0"/>
              <w:jc w:val="center"/>
              <w:rPr>
                <w:rFonts w:ascii="宋体" w:hAnsi="宋体"/>
                <w:sz w:val="20"/>
                <w:szCs w:val="20"/>
              </w:rPr>
            </w:pPr>
            <w:r>
              <w:rPr>
                <w:rFonts w:hint="eastAsia" w:ascii="宋体" w:hAnsi="宋体"/>
                <w:sz w:val="20"/>
                <w:szCs w:val="20"/>
              </w:rPr>
              <w:t>模型</w:t>
            </w:r>
          </w:p>
        </w:tc>
        <w:tc>
          <w:tcPr>
            <w:tcW w:w="2154" w:type="dxa"/>
            <w:vAlign w:val="center"/>
          </w:tcPr>
          <w:p>
            <w:pPr>
              <w:adjustRightInd w:val="0"/>
              <w:snapToGrid w:val="0"/>
              <w:jc w:val="center"/>
              <w:rPr>
                <w:rFonts w:ascii="宋体" w:hAnsi="宋体"/>
                <w:sz w:val="20"/>
                <w:szCs w:val="20"/>
              </w:rPr>
            </w:pPr>
            <w:r>
              <w:rPr>
                <w:rFonts w:hint="eastAsia" w:ascii="宋体" w:hAnsi="宋体"/>
                <w:sz w:val="20"/>
                <w:szCs w:val="20"/>
              </w:rPr>
              <w:t>吸收总能量</w:t>
            </w:r>
            <w:r>
              <w:rPr>
                <w:rFonts w:ascii="宋体" w:hAnsi="宋体"/>
                <w:sz w:val="20"/>
                <w:szCs w:val="20"/>
              </w:rPr>
              <w:t>J</w:t>
            </w:r>
          </w:p>
        </w:tc>
        <w:tc>
          <w:tcPr>
            <w:tcW w:w="2154" w:type="dxa"/>
            <w:vAlign w:val="center"/>
          </w:tcPr>
          <w:p>
            <w:pPr>
              <w:adjustRightInd w:val="0"/>
              <w:snapToGrid w:val="0"/>
              <w:jc w:val="center"/>
              <w:rPr>
                <w:rFonts w:ascii="宋体" w:hAnsi="宋体"/>
                <w:sz w:val="20"/>
                <w:szCs w:val="20"/>
              </w:rPr>
            </w:pPr>
            <w:r>
              <w:rPr>
                <w:rFonts w:hint="eastAsia" w:ascii="宋体" w:hAnsi="宋体"/>
                <w:sz w:val="20"/>
                <w:szCs w:val="20"/>
              </w:rPr>
              <w:t>最大应变</w:t>
            </w:r>
          </w:p>
        </w:tc>
        <w:tc>
          <w:tcPr>
            <w:tcW w:w="2154" w:type="dxa"/>
            <w:vAlign w:val="center"/>
          </w:tcPr>
          <w:p>
            <w:pPr>
              <w:adjustRightInd w:val="0"/>
              <w:snapToGrid w:val="0"/>
              <w:jc w:val="center"/>
              <w:rPr>
                <w:rFonts w:ascii="宋体" w:hAnsi="宋体"/>
                <w:sz w:val="20"/>
                <w:szCs w:val="20"/>
              </w:rPr>
            </w:pPr>
            <w:r>
              <w:rPr>
                <w:rFonts w:hint="eastAsia" w:ascii="宋体" w:hAnsi="宋体"/>
                <w:sz w:val="20"/>
                <w:szCs w:val="20"/>
              </w:rPr>
              <w:t>最大应力</w:t>
            </w:r>
            <w:r>
              <w:rPr>
                <w:rFonts w:ascii="宋体" w:hAnsi="宋体"/>
                <w:sz w:val="20"/>
                <w:szCs w:val="20"/>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4" w:type="dxa"/>
            <w:vAlign w:val="center"/>
          </w:tcPr>
          <w:p>
            <w:pPr>
              <w:adjustRightInd w:val="0"/>
              <w:snapToGrid w:val="0"/>
              <w:jc w:val="center"/>
              <w:rPr>
                <w:rFonts w:ascii="宋体" w:hAnsi="宋体"/>
                <w:sz w:val="20"/>
                <w:szCs w:val="20"/>
              </w:rPr>
            </w:pPr>
            <w:r>
              <w:rPr>
                <w:rFonts w:ascii="宋体" w:hAnsi="宋体"/>
                <w:sz w:val="20"/>
                <w:szCs w:val="20"/>
              </w:rPr>
              <w:t>Base</w:t>
            </w:r>
          </w:p>
        </w:tc>
        <w:tc>
          <w:tcPr>
            <w:tcW w:w="2154" w:type="dxa"/>
            <w:vAlign w:val="center"/>
          </w:tcPr>
          <w:p>
            <w:pPr>
              <w:adjustRightInd w:val="0"/>
              <w:snapToGrid w:val="0"/>
              <w:jc w:val="center"/>
              <w:rPr>
                <w:rFonts w:ascii="宋体" w:hAnsi="宋体"/>
                <w:sz w:val="20"/>
                <w:szCs w:val="20"/>
              </w:rPr>
            </w:pPr>
            <w:r>
              <w:rPr>
                <w:rFonts w:ascii="宋体" w:hAnsi="宋体"/>
                <w:sz w:val="20"/>
                <w:szCs w:val="20"/>
              </w:rPr>
              <w:t>681</w:t>
            </w:r>
          </w:p>
        </w:tc>
        <w:tc>
          <w:tcPr>
            <w:tcW w:w="2154" w:type="dxa"/>
            <w:vAlign w:val="center"/>
          </w:tcPr>
          <w:p>
            <w:pPr>
              <w:adjustRightInd w:val="0"/>
              <w:snapToGrid w:val="0"/>
              <w:jc w:val="center"/>
              <w:rPr>
                <w:rFonts w:ascii="宋体" w:hAnsi="宋体"/>
                <w:sz w:val="20"/>
                <w:szCs w:val="20"/>
              </w:rPr>
            </w:pPr>
            <w:r>
              <w:rPr>
                <w:rFonts w:ascii="宋体" w:hAnsi="宋体"/>
                <w:sz w:val="20"/>
                <w:szCs w:val="20"/>
              </w:rPr>
              <w:t>0.19</w:t>
            </w:r>
          </w:p>
        </w:tc>
        <w:tc>
          <w:tcPr>
            <w:tcW w:w="2154" w:type="dxa"/>
            <w:vAlign w:val="center"/>
          </w:tcPr>
          <w:p>
            <w:pPr>
              <w:adjustRightInd w:val="0"/>
              <w:snapToGrid w:val="0"/>
              <w:jc w:val="center"/>
              <w:rPr>
                <w:rFonts w:ascii="宋体" w:hAnsi="宋体"/>
                <w:sz w:val="20"/>
                <w:szCs w:val="20"/>
              </w:rPr>
            </w:pPr>
            <w:r>
              <w:rPr>
                <w:rFonts w:ascii="宋体" w:hAnsi="宋体"/>
                <w:sz w:val="20"/>
                <w:szCs w:val="20"/>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4" w:type="dxa"/>
            <w:vAlign w:val="center"/>
          </w:tcPr>
          <w:p>
            <w:pPr>
              <w:adjustRightInd w:val="0"/>
              <w:snapToGrid w:val="0"/>
              <w:jc w:val="center"/>
              <w:rPr>
                <w:rFonts w:ascii="宋体" w:hAnsi="宋体"/>
                <w:sz w:val="20"/>
                <w:szCs w:val="20"/>
              </w:rPr>
            </w:pPr>
            <w:r>
              <w:rPr>
                <w:rFonts w:ascii="宋体" w:hAnsi="宋体"/>
                <w:sz w:val="20"/>
                <w:szCs w:val="20"/>
              </w:rPr>
              <w:t>Base×1.2</w:t>
            </w:r>
          </w:p>
        </w:tc>
        <w:tc>
          <w:tcPr>
            <w:tcW w:w="2154" w:type="dxa"/>
            <w:vAlign w:val="center"/>
          </w:tcPr>
          <w:p>
            <w:pPr>
              <w:adjustRightInd w:val="0"/>
              <w:snapToGrid w:val="0"/>
              <w:jc w:val="center"/>
              <w:rPr>
                <w:rFonts w:ascii="宋体" w:hAnsi="宋体"/>
                <w:sz w:val="20"/>
                <w:szCs w:val="20"/>
              </w:rPr>
            </w:pPr>
            <w:r>
              <w:rPr>
                <w:rFonts w:ascii="宋体" w:hAnsi="宋体"/>
                <w:sz w:val="20"/>
                <w:szCs w:val="20"/>
              </w:rPr>
              <w:t>1037</w:t>
            </w:r>
          </w:p>
        </w:tc>
        <w:tc>
          <w:tcPr>
            <w:tcW w:w="2154" w:type="dxa"/>
            <w:vAlign w:val="center"/>
          </w:tcPr>
          <w:p>
            <w:pPr>
              <w:adjustRightInd w:val="0"/>
              <w:snapToGrid w:val="0"/>
              <w:jc w:val="center"/>
              <w:rPr>
                <w:rFonts w:ascii="宋体" w:hAnsi="宋体"/>
                <w:sz w:val="20"/>
                <w:szCs w:val="20"/>
              </w:rPr>
            </w:pPr>
            <w:r>
              <w:rPr>
                <w:rFonts w:ascii="宋体" w:hAnsi="宋体"/>
                <w:sz w:val="20"/>
                <w:szCs w:val="20"/>
              </w:rPr>
              <w:t>0.22</w:t>
            </w:r>
          </w:p>
        </w:tc>
        <w:tc>
          <w:tcPr>
            <w:tcW w:w="2154" w:type="dxa"/>
            <w:vAlign w:val="center"/>
          </w:tcPr>
          <w:p>
            <w:pPr>
              <w:adjustRightInd w:val="0"/>
              <w:snapToGrid w:val="0"/>
              <w:jc w:val="center"/>
              <w:rPr>
                <w:rFonts w:ascii="宋体" w:hAnsi="宋体"/>
                <w:sz w:val="20"/>
                <w:szCs w:val="20"/>
              </w:rPr>
            </w:pPr>
            <w:r>
              <w:rPr>
                <w:rFonts w:ascii="宋体" w:hAnsi="宋体"/>
                <w:sz w:val="20"/>
                <w:szCs w:val="20"/>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4" w:type="dxa"/>
            <w:vAlign w:val="center"/>
          </w:tcPr>
          <w:p>
            <w:pPr>
              <w:adjustRightInd w:val="0"/>
              <w:snapToGrid w:val="0"/>
              <w:jc w:val="center"/>
              <w:rPr>
                <w:rFonts w:ascii="宋体" w:hAnsi="宋体"/>
                <w:sz w:val="20"/>
                <w:szCs w:val="20"/>
              </w:rPr>
            </w:pPr>
            <w:r>
              <w:rPr>
                <w:rFonts w:ascii="宋体" w:hAnsi="宋体"/>
                <w:sz w:val="20"/>
                <w:szCs w:val="20"/>
              </w:rPr>
              <w:t>Base×1.5</w:t>
            </w:r>
          </w:p>
        </w:tc>
        <w:tc>
          <w:tcPr>
            <w:tcW w:w="2154" w:type="dxa"/>
            <w:vAlign w:val="center"/>
          </w:tcPr>
          <w:p>
            <w:pPr>
              <w:adjustRightInd w:val="0"/>
              <w:snapToGrid w:val="0"/>
              <w:jc w:val="center"/>
              <w:rPr>
                <w:rFonts w:ascii="宋体" w:hAnsi="宋体"/>
                <w:sz w:val="20"/>
                <w:szCs w:val="20"/>
              </w:rPr>
            </w:pPr>
            <w:r>
              <w:rPr>
                <w:rFonts w:ascii="宋体" w:hAnsi="宋体"/>
                <w:sz w:val="20"/>
                <w:szCs w:val="20"/>
              </w:rPr>
              <w:t>1474</w:t>
            </w:r>
          </w:p>
        </w:tc>
        <w:tc>
          <w:tcPr>
            <w:tcW w:w="2154" w:type="dxa"/>
            <w:vAlign w:val="center"/>
          </w:tcPr>
          <w:p>
            <w:pPr>
              <w:adjustRightInd w:val="0"/>
              <w:snapToGrid w:val="0"/>
              <w:jc w:val="center"/>
              <w:rPr>
                <w:rFonts w:ascii="宋体" w:hAnsi="宋体"/>
                <w:sz w:val="20"/>
                <w:szCs w:val="20"/>
              </w:rPr>
            </w:pPr>
            <w:r>
              <w:rPr>
                <w:rFonts w:ascii="宋体" w:hAnsi="宋体"/>
                <w:sz w:val="20"/>
                <w:szCs w:val="20"/>
              </w:rPr>
              <w:t>——</w:t>
            </w:r>
          </w:p>
        </w:tc>
        <w:tc>
          <w:tcPr>
            <w:tcW w:w="2154" w:type="dxa"/>
            <w:vAlign w:val="center"/>
          </w:tcPr>
          <w:p>
            <w:pPr>
              <w:adjustRightInd w:val="0"/>
              <w:snapToGrid w:val="0"/>
              <w:jc w:val="center"/>
              <w:rPr>
                <w:rFonts w:ascii="宋体" w:hAnsi="宋体"/>
                <w:sz w:val="20"/>
                <w:szCs w:val="20"/>
              </w:rPr>
            </w:pPr>
            <w:r>
              <w:rPr>
                <w:rFonts w:ascii="宋体" w:hAnsi="宋体"/>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4" w:type="dxa"/>
            <w:vAlign w:val="center"/>
          </w:tcPr>
          <w:p>
            <w:pPr>
              <w:adjustRightInd w:val="0"/>
              <w:snapToGrid w:val="0"/>
              <w:jc w:val="center"/>
              <w:rPr>
                <w:rFonts w:ascii="宋体" w:hAnsi="宋体"/>
                <w:sz w:val="20"/>
                <w:szCs w:val="20"/>
              </w:rPr>
            </w:pPr>
            <w:r>
              <w:rPr>
                <w:rFonts w:hint="eastAsia" w:ascii="宋体" w:hAnsi="宋体"/>
                <w:sz w:val="20"/>
                <w:szCs w:val="20"/>
              </w:rPr>
              <w:t>静态</w:t>
            </w:r>
          </w:p>
        </w:tc>
        <w:tc>
          <w:tcPr>
            <w:tcW w:w="2154" w:type="dxa"/>
            <w:vAlign w:val="center"/>
          </w:tcPr>
          <w:p>
            <w:pPr>
              <w:adjustRightInd w:val="0"/>
              <w:snapToGrid w:val="0"/>
              <w:jc w:val="center"/>
              <w:rPr>
                <w:rFonts w:ascii="宋体" w:hAnsi="宋体"/>
                <w:sz w:val="20"/>
                <w:szCs w:val="20"/>
              </w:rPr>
            </w:pPr>
            <w:r>
              <w:rPr>
                <w:rFonts w:ascii="宋体" w:hAnsi="宋体"/>
                <w:sz w:val="20"/>
                <w:szCs w:val="20"/>
              </w:rPr>
              <w:t>948</w:t>
            </w:r>
          </w:p>
        </w:tc>
        <w:tc>
          <w:tcPr>
            <w:tcW w:w="2154" w:type="dxa"/>
            <w:vAlign w:val="center"/>
          </w:tcPr>
          <w:p>
            <w:pPr>
              <w:adjustRightInd w:val="0"/>
              <w:snapToGrid w:val="0"/>
              <w:jc w:val="center"/>
              <w:rPr>
                <w:rFonts w:ascii="宋体" w:hAnsi="宋体"/>
                <w:sz w:val="20"/>
                <w:szCs w:val="20"/>
              </w:rPr>
            </w:pPr>
            <w:r>
              <w:rPr>
                <w:rFonts w:ascii="宋体" w:hAnsi="宋体"/>
                <w:sz w:val="20"/>
                <w:szCs w:val="20"/>
              </w:rPr>
              <w:t>0.21</w:t>
            </w:r>
          </w:p>
        </w:tc>
        <w:tc>
          <w:tcPr>
            <w:tcW w:w="2154" w:type="dxa"/>
            <w:vAlign w:val="center"/>
          </w:tcPr>
          <w:p>
            <w:pPr>
              <w:adjustRightInd w:val="0"/>
              <w:snapToGrid w:val="0"/>
              <w:jc w:val="center"/>
              <w:rPr>
                <w:rFonts w:ascii="宋体" w:hAnsi="宋体"/>
                <w:sz w:val="20"/>
                <w:szCs w:val="20"/>
              </w:rPr>
            </w:pPr>
            <w:r>
              <w:rPr>
                <w:rFonts w:ascii="宋体" w:hAnsi="宋体"/>
                <w:sz w:val="20"/>
                <w:szCs w:val="20"/>
              </w:rPr>
              <w:t>384</w:t>
            </w:r>
          </w:p>
        </w:tc>
      </w:tr>
    </w:tbl>
    <w:p>
      <w:pPr>
        <w:adjustRightInd w:val="0"/>
        <w:snapToGrid w:val="0"/>
        <w:spacing w:line="300" w:lineRule="auto"/>
        <w:ind w:firstLine="480" w:firstLineChars="200"/>
        <w:rPr>
          <w:rFonts w:ascii="宋体" w:hAnsi="宋体"/>
          <w:sz w:val="24"/>
        </w:rPr>
      </w:pPr>
    </w:p>
    <w:p>
      <w:pPr>
        <w:spacing w:line="400" w:lineRule="exact"/>
        <w:ind w:firstLine="420" w:firstLineChars="200"/>
        <w:rPr>
          <w:rFonts w:hint="eastAsia" w:ascii="宋体" w:hAnsi="宋体"/>
          <w:szCs w:val="21"/>
        </w:rPr>
      </w:pPr>
      <w:r>
        <w:rPr>
          <w:rFonts w:hint="eastAsia" w:ascii="宋体" w:hAnsi="宋体"/>
          <w:szCs w:val="21"/>
        </w:rPr>
        <w:t>后碰性能要求方面，将原标准中与强度相关的座椅靠背位移不超过254mm，变为后碰动态试验中更常用且更易于测量的靠背后倾角度，并利用三角函数将254mm等效转化为25°。原标准中的吸能相关要求由假人伤害表征，假人伤害采用与前碰性能要求相同的伤害限值。</w:t>
      </w:r>
    </w:p>
    <w:p>
      <w:pPr>
        <w:spacing w:line="360" w:lineRule="auto"/>
        <w:ind w:firstLine="420" w:firstLineChars="200"/>
        <w:rPr>
          <w:rFonts w:hint="eastAsia" w:ascii="宋体" w:hAnsi="宋体"/>
          <w:szCs w:val="21"/>
        </w:rPr>
      </w:pPr>
    </w:p>
    <w:p>
      <w:pPr>
        <w:numPr>
          <w:ilvl w:val="2"/>
          <w:numId w:val="5"/>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本标准与原标准的章条差异汇总</w:t>
      </w:r>
    </w:p>
    <w:p>
      <w:pPr>
        <w:spacing w:line="400" w:lineRule="exact"/>
        <w:ind w:firstLine="420" w:firstLineChars="200"/>
        <w:rPr>
          <w:rFonts w:hint="eastAsia" w:ascii="宋体" w:hAnsi="宋体"/>
          <w:szCs w:val="21"/>
        </w:rPr>
      </w:pPr>
      <w:r>
        <w:rPr>
          <w:rFonts w:hint="eastAsia" w:ascii="宋体" w:hAnsi="宋体"/>
          <w:szCs w:val="21"/>
        </w:rPr>
        <w:t>本标准与GB24406－2012相比，除结构调整和编辑性改动外，主要技术变化如下：</w:t>
      </w:r>
    </w:p>
    <w:p>
      <w:pPr>
        <w:spacing w:line="400" w:lineRule="exact"/>
        <w:ind w:firstLine="420" w:firstLineChars="200"/>
        <w:rPr>
          <w:rFonts w:hint="eastAsia" w:ascii="宋体" w:hAnsi="宋体"/>
          <w:szCs w:val="21"/>
        </w:rPr>
      </w:pPr>
      <w:r>
        <w:rPr>
          <w:rFonts w:hint="eastAsia" w:ascii="宋体" w:hAnsi="宋体"/>
          <w:szCs w:val="21"/>
        </w:rPr>
        <w:t>——更改了“调整装置”、“位移装置”、“锁止装置”定义的术语（见3.2～3.4，2012年版的3.3～3.5）；</w:t>
      </w:r>
    </w:p>
    <w:p>
      <w:pPr>
        <w:spacing w:line="400" w:lineRule="exact"/>
        <w:ind w:firstLine="420" w:firstLineChars="200"/>
        <w:rPr>
          <w:rFonts w:hint="eastAsia" w:ascii="宋体" w:hAnsi="宋体"/>
          <w:szCs w:val="21"/>
        </w:rPr>
      </w:pPr>
      <w:r>
        <w:rPr>
          <w:rFonts w:hint="eastAsia" w:ascii="宋体" w:hAnsi="宋体"/>
          <w:szCs w:val="21"/>
        </w:rPr>
        <w:t>——更改了“车辆固定件”、“座椅连接件”定义的术语（见3.5～3.6，2012年版的3.6～3.7）；</w:t>
      </w:r>
    </w:p>
    <w:p>
      <w:pPr>
        <w:spacing w:line="400" w:lineRule="exact"/>
        <w:ind w:firstLine="420" w:firstLineChars="200"/>
        <w:rPr>
          <w:rFonts w:hint="eastAsia" w:ascii="宋体" w:hAnsi="宋体"/>
          <w:szCs w:val="21"/>
        </w:rPr>
      </w:pPr>
      <w:r>
        <w:rPr>
          <w:rFonts w:hint="eastAsia" w:ascii="宋体" w:hAnsi="宋体"/>
          <w:szCs w:val="21"/>
        </w:rPr>
        <w:t>——删除了“辅助座椅”、“基准平面”的术语及定义（见2012年版的3.8～3.9）；</w:t>
      </w:r>
    </w:p>
    <w:p>
      <w:pPr>
        <w:spacing w:line="400" w:lineRule="exact"/>
        <w:ind w:firstLine="420" w:firstLineChars="200"/>
        <w:rPr>
          <w:rFonts w:hint="eastAsia" w:ascii="宋体" w:hAnsi="宋体"/>
          <w:szCs w:val="21"/>
        </w:rPr>
      </w:pPr>
      <w:r>
        <w:rPr>
          <w:rFonts w:hint="eastAsia" w:ascii="宋体" w:hAnsi="宋体"/>
          <w:szCs w:val="21"/>
        </w:rPr>
        <w:t>——更改了“座椅间距”的定义（见3.7，2012年版的3.10）；</w:t>
      </w:r>
    </w:p>
    <w:p>
      <w:pPr>
        <w:spacing w:line="400" w:lineRule="exact"/>
        <w:ind w:firstLine="420" w:firstLineChars="200"/>
        <w:rPr>
          <w:rFonts w:hint="eastAsia" w:ascii="宋体" w:hAnsi="宋体"/>
          <w:szCs w:val="21"/>
        </w:rPr>
      </w:pPr>
      <w:r>
        <w:rPr>
          <w:rFonts w:hint="eastAsia" w:ascii="宋体" w:hAnsi="宋体"/>
          <w:szCs w:val="21"/>
        </w:rPr>
        <w:t>——增加了“G点”的定义（见3.9）；</w:t>
      </w:r>
    </w:p>
    <w:p>
      <w:pPr>
        <w:spacing w:line="400" w:lineRule="exact"/>
        <w:ind w:firstLine="420" w:firstLineChars="200"/>
        <w:rPr>
          <w:rFonts w:hint="eastAsia" w:ascii="宋体" w:hAnsi="宋体"/>
          <w:szCs w:val="21"/>
        </w:rPr>
      </w:pPr>
      <w:r>
        <w:rPr>
          <w:rFonts w:hint="eastAsia" w:ascii="宋体" w:hAnsi="宋体"/>
          <w:szCs w:val="21"/>
        </w:rPr>
        <w:t>——增加了试验中头枕不应脱离的要求（见4.1.1）；</w:t>
      </w:r>
    </w:p>
    <w:p>
      <w:pPr>
        <w:spacing w:line="400" w:lineRule="exact"/>
        <w:ind w:firstLine="420" w:firstLineChars="200"/>
        <w:rPr>
          <w:rFonts w:hint="eastAsia" w:ascii="宋体" w:hAnsi="宋体"/>
          <w:szCs w:val="21"/>
        </w:rPr>
      </w:pPr>
      <w:r>
        <w:rPr>
          <w:rFonts w:hint="eastAsia" w:ascii="宋体" w:hAnsi="宋体"/>
          <w:szCs w:val="21"/>
        </w:rPr>
        <w:t>——更改了头部伤害指标HIC的计算时间限，采用HIC15作为头部伤害指标（见4.1.2.2中的 a)，2012年版的4.1.2.3中的 a)）；</w:t>
      </w:r>
    </w:p>
    <w:p>
      <w:pPr>
        <w:spacing w:line="400" w:lineRule="exact"/>
        <w:ind w:firstLine="420" w:firstLineChars="200"/>
        <w:rPr>
          <w:rFonts w:hint="eastAsia" w:ascii="宋体" w:hAnsi="宋体"/>
          <w:szCs w:val="21"/>
        </w:rPr>
      </w:pPr>
      <w:r>
        <w:rPr>
          <w:rFonts w:hint="eastAsia" w:ascii="宋体" w:hAnsi="宋体"/>
          <w:szCs w:val="21"/>
        </w:rPr>
        <w:t>——增加了颈部伤害要求（见4.1.2.2中的 b)）；</w:t>
      </w:r>
    </w:p>
    <w:p>
      <w:pPr>
        <w:spacing w:line="400" w:lineRule="exact"/>
        <w:ind w:firstLine="420" w:firstLineChars="200"/>
        <w:rPr>
          <w:rFonts w:hint="eastAsia" w:ascii="宋体" w:hAnsi="宋体"/>
          <w:szCs w:val="21"/>
        </w:rPr>
      </w:pPr>
      <w:r>
        <w:rPr>
          <w:rFonts w:hint="eastAsia" w:ascii="宋体" w:hAnsi="宋体"/>
          <w:szCs w:val="21"/>
        </w:rPr>
        <w:t>——更改了腿部伤害要求（见4.1.2.2中的 d)，2012年版的4.1.2.3中的 c)）；</w:t>
      </w:r>
    </w:p>
    <w:p>
      <w:pPr>
        <w:spacing w:line="400" w:lineRule="exact"/>
        <w:ind w:firstLine="420" w:firstLineChars="200"/>
        <w:rPr>
          <w:rFonts w:hint="eastAsia" w:ascii="宋体" w:hAnsi="宋体"/>
          <w:szCs w:val="21"/>
        </w:rPr>
      </w:pPr>
      <w:r>
        <w:rPr>
          <w:rFonts w:hint="eastAsia" w:ascii="宋体" w:hAnsi="宋体"/>
          <w:szCs w:val="21"/>
        </w:rPr>
        <w:t>——增加了碰撞后带扣解锁力要求（见4.1.2.3）；</w:t>
      </w:r>
    </w:p>
    <w:p>
      <w:pPr>
        <w:spacing w:line="400" w:lineRule="exact"/>
        <w:ind w:firstLine="420" w:firstLineChars="200"/>
        <w:rPr>
          <w:rFonts w:hint="eastAsia" w:ascii="宋体" w:hAnsi="宋体"/>
          <w:szCs w:val="21"/>
        </w:rPr>
      </w:pPr>
      <w:r>
        <w:rPr>
          <w:rFonts w:hint="eastAsia" w:ascii="宋体" w:hAnsi="宋体"/>
          <w:szCs w:val="21"/>
        </w:rPr>
        <w:t>——更改了座椅及其连接件的强度和断裂要求（见4.1.2.4，2012年版的4.1.2.4～4.1.2.6）；</w:t>
      </w:r>
    </w:p>
    <w:p>
      <w:pPr>
        <w:spacing w:line="400" w:lineRule="exact"/>
        <w:ind w:firstLine="420" w:firstLineChars="200"/>
        <w:rPr>
          <w:rFonts w:hint="eastAsia" w:ascii="宋体" w:hAnsi="宋体"/>
          <w:szCs w:val="21"/>
        </w:rPr>
      </w:pPr>
      <w:r>
        <w:rPr>
          <w:rFonts w:hint="eastAsia" w:ascii="宋体" w:hAnsi="宋体"/>
          <w:szCs w:val="21"/>
        </w:rPr>
        <w:t>——更改了座椅高度差对试验方案的影响（见4.1.2.5，2012年版的4.1.2.7）；</w:t>
      </w:r>
    </w:p>
    <w:p>
      <w:pPr>
        <w:spacing w:line="400" w:lineRule="exact"/>
        <w:ind w:firstLine="420" w:firstLineChars="200"/>
        <w:rPr>
          <w:rFonts w:hint="eastAsia" w:ascii="宋体" w:hAnsi="宋体"/>
          <w:szCs w:val="21"/>
        </w:rPr>
      </w:pPr>
      <w:r>
        <w:rPr>
          <w:rFonts w:hint="eastAsia" w:ascii="宋体" w:hAnsi="宋体"/>
          <w:szCs w:val="21"/>
        </w:rPr>
        <w:t>——更改了当座椅后部不会被未约束的乘客所撞击时的豁免范围（见4.1.2.6，2012年版的4.1.2.8）；</w:t>
      </w:r>
    </w:p>
    <w:p>
      <w:pPr>
        <w:spacing w:line="400" w:lineRule="exact"/>
        <w:ind w:firstLine="420" w:firstLineChars="200"/>
        <w:rPr>
          <w:rFonts w:hint="eastAsia" w:ascii="宋体" w:hAnsi="宋体"/>
          <w:szCs w:val="21"/>
        </w:rPr>
      </w:pPr>
      <w:r>
        <w:rPr>
          <w:rFonts w:hint="eastAsia" w:ascii="宋体" w:hAnsi="宋体"/>
          <w:szCs w:val="21"/>
        </w:rPr>
        <w:t>——更改了后碰性能要求（见4.1.3，2012年版的4.1.3）；</w:t>
      </w:r>
    </w:p>
    <w:p>
      <w:pPr>
        <w:spacing w:line="400" w:lineRule="exact"/>
        <w:ind w:firstLine="420" w:firstLineChars="200"/>
        <w:rPr>
          <w:rFonts w:hint="eastAsia" w:ascii="宋体" w:hAnsi="宋体"/>
          <w:szCs w:val="21"/>
        </w:rPr>
      </w:pPr>
      <w:r>
        <w:rPr>
          <w:rFonts w:hint="eastAsia" w:ascii="宋体" w:hAnsi="宋体"/>
          <w:szCs w:val="21"/>
        </w:rPr>
        <w:t>——删除了在特定情况下能够通过 GB 14167 的试验来满足车辆固定件强度要求的情况（见 2012 年版的 4.3.4）；</w:t>
      </w:r>
    </w:p>
    <w:p>
      <w:pPr>
        <w:spacing w:line="400" w:lineRule="exact"/>
        <w:ind w:firstLine="420" w:firstLineChars="200"/>
        <w:rPr>
          <w:rFonts w:hint="eastAsia" w:ascii="宋体" w:hAnsi="宋体"/>
          <w:szCs w:val="21"/>
        </w:rPr>
      </w:pPr>
      <w:r>
        <w:rPr>
          <w:rFonts w:hint="eastAsia" w:ascii="宋体" w:hAnsi="宋体"/>
          <w:szCs w:val="21"/>
        </w:rPr>
        <w:t>——更改了座椅或约束隔板的准备中关于试验平台的要求（见5.1.1.1，2012年版的5.1.1.2）；</w:t>
      </w:r>
    </w:p>
    <w:p>
      <w:pPr>
        <w:spacing w:line="400" w:lineRule="exact"/>
        <w:ind w:firstLine="420" w:firstLineChars="200"/>
        <w:rPr>
          <w:rFonts w:hint="eastAsia" w:ascii="宋体" w:hAnsi="宋体"/>
          <w:szCs w:val="21"/>
        </w:rPr>
      </w:pPr>
      <w:r>
        <w:rPr>
          <w:rFonts w:hint="eastAsia" w:ascii="宋体" w:hAnsi="宋体"/>
          <w:szCs w:val="21"/>
        </w:rPr>
        <w:t>——更改了前碰动态试验中第一排座椅（或约束隔板）与第二排座椅的间距（见5.1.1.2，2012年版的5.1.2.2）；</w:t>
      </w:r>
    </w:p>
    <w:p>
      <w:pPr>
        <w:spacing w:line="400" w:lineRule="exact"/>
        <w:ind w:firstLine="420" w:firstLineChars="200"/>
        <w:rPr>
          <w:rFonts w:hint="eastAsia" w:ascii="宋体" w:hAnsi="宋体"/>
          <w:szCs w:val="21"/>
        </w:rPr>
      </w:pPr>
      <w:r>
        <w:rPr>
          <w:rFonts w:hint="eastAsia" w:ascii="宋体" w:hAnsi="宋体"/>
          <w:szCs w:val="21"/>
        </w:rPr>
        <w:t>——更改了前碰动态试验中使用的儿童假人（见5.1.2.1.1和5.1.3.1.1，2012年版的5.1.2.3.1）；</w:t>
      </w:r>
    </w:p>
    <w:p>
      <w:pPr>
        <w:spacing w:line="400" w:lineRule="exact"/>
        <w:ind w:firstLine="420" w:firstLineChars="200"/>
        <w:rPr>
          <w:rFonts w:hint="eastAsia" w:ascii="宋体" w:hAnsi="宋体"/>
          <w:szCs w:val="21"/>
        </w:rPr>
      </w:pPr>
      <w:r>
        <w:rPr>
          <w:rFonts w:hint="eastAsia" w:ascii="宋体" w:hAnsi="宋体"/>
          <w:szCs w:val="21"/>
        </w:rPr>
        <w:t>——更改了前碰动态试验中假人定位要求（见5.1.2.1.3～5.1.2.1.5，2012年版的5.1.2.3.3和5.1.2.3.4）；</w:t>
      </w:r>
    </w:p>
    <w:p>
      <w:pPr>
        <w:spacing w:line="400" w:lineRule="exact"/>
        <w:ind w:firstLine="420" w:firstLineChars="200"/>
        <w:rPr>
          <w:rFonts w:hint="eastAsia" w:ascii="宋体" w:hAnsi="宋体"/>
          <w:szCs w:val="21"/>
        </w:rPr>
      </w:pPr>
      <w:r>
        <w:rPr>
          <w:rFonts w:hint="eastAsia" w:ascii="宋体" w:hAnsi="宋体"/>
          <w:szCs w:val="21"/>
        </w:rPr>
        <w:t>——更改了前碰动态试验中试验波形的描述方法和速度范围（见5.1.2.2，2012年版的5.1.2.4）；</w:t>
      </w:r>
    </w:p>
    <w:p>
      <w:pPr>
        <w:spacing w:line="400" w:lineRule="exact"/>
        <w:ind w:firstLine="420" w:firstLineChars="200"/>
        <w:rPr>
          <w:rFonts w:hint="eastAsia" w:ascii="宋体" w:hAnsi="宋体"/>
          <w:szCs w:val="21"/>
        </w:rPr>
      </w:pPr>
      <w:r>
        <w:rPr>
          <w:rFonts w:hint="eastAsia" w:ascii="宋体" w:hAnsi="宋体"/>
          <w:szCs w:val="21"/>
        </w:rPr>
        <w:t>——删除了静态加载试验方法（见2012年版的5.2）；</w:t>
      </w:r>
    </w:p>
    <w:p>
      <w:pPr>
        <w:spacing w:line="400" w:lineRule="exact"/>
        <w:ind w:firstLine="420" w:firstLineChars="200"/>
        <w:rPr>
          <w:rFonts w:hint="eastAsia" w:ascii="宋体" w:hAnsi="宋体"/>
          <w:szCs w:val="21"/>
        </w:rPr>
      </w:pPr>
      <w:r>
        <w:rPr>
          <w:rFonts w:hint="eastAsia" w:ascii="宋体" w:hAnsi="宋体"/>
          <w:szCs w:val="21"/>
        </w:rPr>
        <w:t>——增加了后碰动态试验方法（见5.2）；</w:t>
      </w:r>
    </w:p>
    <w:p>
      <w:pPr>
        <w:spacing w:line="400" w:lineRule="exact"/>
        <w:ind w:firstLine="420" w:firstLineChars="200"/>
        <w:rPr>
          <w:rFonts w:hint="eastAsia" w:ascii="宋体" w:hAnsi="宋体"/>
          <w:szCs w:val="21"/>
        </w:rPr>
      </w:pPr>
      <w:r>
        <w:rPr>
          <w:rFonts w:hint="eastAsia" w:ascii="宋体" w:hAnsi="宋体"/>
          <w:szCs w:val="21"/>
        </w:rPr>
        <w:t>——增加了同一型式判定（见第6章）；</w:t>
      </w:r>
    </w:p>
    <w:p>
      <w:pPr>
        <w:spacing w:line="400" w:lineRule="exact"/>
        <w:ind w:firstLine="420" w:firstLineChars="200"/>
        <w:rPr>
          <w:rFonts w:hint="eastAsia" w:ascii="宋体" w:hAnsi="宋体"/>
          <w:szCs w:val="21"/>
        </w:rPr>
      </w:pPr>
      <w:r>
        <w:rPr>
          <w:rFonts w:hint="eastAsia" w:ascii="宋体" w:hAnsi="宋体"/>
          <w:szCs w:val="21"/>
        </w:rPr>
        <w:t>——增加了实施日期（见第7章）；</w:t>
      </w:r>
    </w:p>
    <w:p>
      <w:pPr>
        <w:spacing w:line="400" w:lineRule="exact"/>
        <w:ind w:firstLine="420" w:firstLineChars="200"/>
        <w:rPr>
          <w:rFonts w:hint="eastAsia" w:ascii="宋体" w:hAnsi="宋体"/>
          <w:szCs w:val="21"/>
        </w:rPr>
      </w:pPr>
      <w:r>
        <w:rPr>
          <w:rFonts w:hint="eastAsia" w:ascii="宋体" w:hAnsi="宋体"/>
          <w:szCs w:val="21"/>
        </w:rPr>
        <w:t>——更改了头部伤害指标HIC的计算时限（见A.1，2012年版的B.1）；</w:t>
      </w:r>
    </w:p>
    <w:p>
      <w:pPr>
        <w:spacing w:line="400" w:lineRule="exact"/>
        <w:ind w:firstLine="420" w:firstLineChars="200"/>
        <w:rPr>
          <w:rFonts w:hint="eastAsia" w:ascii="宋体" w:hAnsi="宋体"/>
          <w:szCs w:val="21"/>
        </w:rPr>
      </w:pPr>
      <w:r>
        <w:rPr>
          <w:rFonts w:hint="eastAsia" w:ascii="宋体" w:hAnsi="宋体"/>
          <w:szCs w:val="21"/>
        </w:rPr>
        <w:t>——增加了颈部伤害指标的计算方法（见A.2）；</w:t>
      </w:r>
    </w:p>
    <w:p>
      <w:pPr>
        <w:spacing w:line="400" w:lineRule="exact"/>
        <w:ind w:firstLine="420" w:firstLineChars="200"/>
        <w:rPr>
          <w:rFonts w:hint="eastAsia" w:ascii="宋体" w:hAnsi="宋体"/>
          <w:szCs w:val="21"/>
        </w:rPr>
      </w:pPr>
      <w:r>
        <w:rPr>
          <w:rFonts w:hint="eastAsia" w:ascii="宋体" w:hAnsi="宋体"/>
          <w:szCs w:val="21"/>
        </w:rPr>
        <w:t>——增加了颈部伤害的测量和数据处理要求（见B.2.2中的 b) ）。</w:t>
      </w:r>
    </w:p>
    <w:p>
      <w:pPr>
        <w:autoSpaceDE w:val="0"/>
        <w:autoSpaceDN w:val="0"/>
        <w:adjustRightInd w:val="0"/>
        <w:spacing w:line="400" w:lineRule="exact"/>
        <w:ind w:firstLine="422" w:firstLineChars="200"/>
        <w:jc w:val="left"/>
        <w:outlineLvl w:val="0"/>
        <w:rPr>
          <w:rFonts w:hint="eastAsia"/>
          <w:b/>
          <w:szCs w:val="21"/>
          <w:lang w:eastAsia="zh-CN"/>
        </w:rPr>
      </w:pPr>
      <w:r>
        <w:rPr>
          <w:rFonts w:hint="eastAsia"/>
          <w:b/>
          <w:szCs w:val="21"/>
          <w:lang w:eastAsia="zh-CN"/>
        </w:rPr>
        <w:t>（</w:t>
      </w:r>
      <w:r>
        <w:rPr>
          <w:rFonts w:hint="eastAsia"/>
          <w:b/>
          <w:szCs w:val="21"/>
          <w:lang w:val="en-US" w:eastAsia="zh-CN"/>
        </w:rPr>
        <w:t>三</w:t>
      </w:r>
      <w:r>
        <w:rPr>
          <w:rFonts w:hint="eastAsia"/>
          <w:b/>
          <w:szCs w:val="21"/>
          <w:lang w:eastAsia="zh-CN"/>
        </w:rPr>
        <w:t>）主要试验（或验证）情况分析</w:t>
      </w:r>
    </w:p>
    <w:p>
      <w:pPr>
        <w:numPr>
          <w:ilvl w:val="2"/>
          <w:numId w:val="6"/>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不同座椅间距对假人伤害的影响分析</w:t>
      </w:r>
    </w:p>
    <w:p>
      <w:pPr>
        <w:spacing w:line="400" w:lineRule="exact"/>
        <w:ind w:firstLine="420" w:firstLineChars="200"/>
        <w:rPr>
          <w:rFonts w:hint="eastAsia" w:ascii="宋体" w:hAnsi="宋体"/>
          <w:szCs w:val="21"/>
        </w:rPr>
      </w:pPr>
      <w:r>
        <w:rPr>
          <w:rFonts w:hint="eastAsia" w:ascii="宋体" w:hAnsi="宋体"/>
          <w:szCs w:val="21"/>
        </w:rPr>
        <w:t>以表1中修订计划的座椅间距作为基准，并将座椅间距缩小50mm和放大50mm，进行对比试验，测量5th假人伤害，不同座椅间距的假人各伤害指标结果如图3，可见不同的指标响应不同，有些对座椅间距不敏感，有些正相关，有些负相关。为此我们将有限值要求的四个指标，包括：头部HIC、颈部Nij、胸部加速度、大腿压缩力，各自进行归一化处理，然后进行等权重平均，获得假人整体伤害情况与座椅间距的关联关系，如图4。可见虽然各个通道、伤害指标受座椅间距影响较大，但是总体而言并不敏感，座椅间距在设定间距及±50mm位置时，综合伤害均为最大伤害值的80%左右。由此可见，按照实际产品统计结果设定试验环境是可行的，并没有设定在明显有利的位置进行检测。</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1"/>
        <w:gridCol w:w="1420"/>
        <w:gridCol w:w="1420"/>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520000" cy="1514690"/>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a</w:t>
            </w:r>
            <w:r>
              <w:rPr>
                <w:rFonts w:ascii="黑体" w:hAnsi="黑体" w:eastAsia="黑体"/>
                <w:szCs w:val="21"/>
              </w:rPr>
              <w:t>)</w:t>
            </w:r>
            <w:r>
              <w:rPr>
                <w:rFonts w:hint="eastAsia" w:ascii="黑体" w:hAnsi="黑体" w:eastAsia="黑体"/>
                <w:szCs w:val="21"/>
              </w:rPr>
              <w:t>头部HIC</w:t>
            </w:r>
          </w:p>
        </w:tc>
        <w:tc>
          <w:tcPr>
            <w:tcW w:w="4153"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520000" cy="1514690"/>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b</w:t>
            </w:r>
            <w:r>
              <w:rPr>
                <w:rFonts w:ascii="黑体" w:hAnsi="黑体" w:eastAsia="黑体"/>
                <w:szCs w:val="21"/>
              </w:rPr>
              <w:t>)</w:t>
            </w:r>
            <w:r>
              <w:rPr>
                <w:rFonts w:hint="eastAsia" w:ascii="黑体" w:hAnsi="黑体" w:eastAsia="黑体"/>
                <w:szCs w:val="21"/>
              </w:rPr>
              <w:t>颈部Nij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2520000" cy="1514690"/>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c</w:t>
            </w:r>
            <w:r>
              <w:rPr>
                <w:rFonts w:ascii="黑体" w:hAnsi="黑体" w:eastAsia="黑体"/>
                <w:szCs w:val="21"/>
              </w:rPr>
              <w:t>)</w:t>
            </w:r>
            <w:r>
              <w:rPr>
                <w:rFonts w:hint="eastAsia" w:ascii="黑体" w:hAnsi="黑体" w:eastAsia="黑体"/>
                <w:szCs w:val="21"/>
              </w:rPr>
              <w:t>胸部加速度</w:t>
            </w:r>
          </w:p>
        </w:tc>
        <w:tc>
          <w:tcPr>
            <w:tcW w:w="4153"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20000" cy="1514690"/>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d</w:t>
            </w:r>
            <w:r>
              <w:rPr>
                <w:rFonts w:ascii="黑体" w:hAnsi="黑体" w:eastAsia="黑体"/>
                <w:szCs w:val="21"/>
              </w:rPr>
              <w:t>)</w:t>
            </w:r>
            <w:r>
              <w:rPr>
                <w:rFonts w:hint="eastAsia" w:ascii="黑体" w:hAnsi="黑体" w:eastAsia="黑体"/>
                <w:szCs w:val="21"/>
              </w:rPr>
              <w:t>大腿压缩力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1"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1799590" cy="1081405"/>
                  <wp:effectExtent l="0" t="0" r="0" b="444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1800000" cy="108192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e</w:t>
            </w:r>
            <w:r>
              <w:rPr>
                <w:rFonts w:ascii="黑体" w:hAnsi="黑体" w:eastAsia="黑体"/>
                <w:szCs w:val="21"/>
              </w:rPr>
              <w:t>)</w:t>
            </w:r>
            <w:r>
              <w:rPr>
                <w:rFonts w:hint="eastAsia" w:ascii="黑体" w:hAnsi="黑体" w:eastAsia="黑体"/>
                <w:szCs w:val="21"/>
              </w:rPr>
              <w:t>颈部Fx</w:t>
            </w:r>
          </w:p>
        </w:tc>
        <w:tc>
          <w:tcPr>
            <w:tcW w:w="2784"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1799590" cy="1081405"/>
                  <wp:effectExtent l="0" t="0" r="0" b="44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1800000" cy="108192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f</w:t>
            </w:r>
            <w:r>
              <w:rPr>
                <w:rFonts w:ascii="黑体" w:hAnsi="黑体" w:eastAsia="黑体"/>
                <w:szCs w:val="21"/>
              </w:rPr>
              <w:t>)</w:t>
            </w:r>
            <w:r>
              <w:rPr>
                <w:rFonts w:hint="eastAsia" w:ascii="黑体" w:hAnsi="黑体" w:eastAsia="黑体"/>
                <w:szCs w:val="21"/>
              </w:rPr>
              <w:t>颈部Fz</w:t>
            </w:r>
          </w:p>
        </w:tc>
        <w:tc>
          <w:tcPr>
            <w:tcW w:w="2761"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1799590" cy="1081405"/>
                  <wp:effectExtent l="0" t="0" r="0" b="444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1800000" cy="108192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g</w:t>
            </w:r>
            <w:r>
              <w:rPr>
                <w:rFonts w:ascii="黑体" w:hAnsi="黑体" w:eastAsia="黑体"/>
                <w:szCs w:val="21"/>
              </w:rPr>
              <w:t>)</w:t>
            </w:r>
            <w:r>
              <w:rPr>
                <w:rFonts w:hint="eastAsia" w:ascii="黑体" w:hAnsi="黑体" w:eastAsia="黑体"/>
                <w:szCs w:val="21"/>
              </w:rPr>
              <w:t>颈部My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4"/>
            <w:vAlign w:val="bottom"/>
          </w:tcPr>
          <w:p>
            <w:pPr>
              <w:adjustRightInd w:val="0"/>
              <w:snapToGrid w:val="0"/>
              <w:spacing w:line="300" w:lineRule="auto"/>
              <w:jc w:val="center"/>
              <w:rPr>
                <w:rFonts w:ascii="黑体" w:hAnsi="黑体" w:eastAsia="黑体"/>
                <w:szCs w:val="21"/>
              </w:rPr>
            </w:pPr>
            <w:r>
              <w:rPr>
                <w:rFonts w:hint="eastAsia" w:ascii="黑体" w:hAnsi="黑体" w:eastAsia="黑体"/>
                <w:szCs w:val="21"/>
              </w:rPr>
              <w:t>图3</w:t>
            </w:r>
            <w:r>
              <w:rPr>
                <w:rFonts w:ascii="黑体" w:hAnsi="黑体" w:eastAsia="黑体"/>
                <w:szCs w:val="21"/>
              </w:rPr>
              <w:t xml:space="preserve">  </w:t>
            </w:r>
            <w:r>
              <w:rPr>
                <w:rFonts w:hint="eastAsia" w:ascii="黑体" w:hAnsi="黑体" w:eastAsia="黑体"/>
                <w:szCs w:val="21"/>
              </w:rPr>
              <w:t>座椅间距对假人各伤害指标的影响</w:t>
            </w:r>
          </w:p>
        </w:tc>
      </w:tr>
    </w:tbl>
    <w:p>
      <w:pPr>
        <w:adjustRightInd w:val="0"/>
        <w:snapToGrid w:val="0"/>
        <w:spacing w:line="300" w:lineRule="auto"/>
        <w:ind w:firstLine="480" w:firstLineChars="200"/>
        <w:jc w:val="center"/>
        <w:rPr>
          <w:rFonts w:ascii="宋体" w:hAnsi="宋体"/>
          <w:sz w:val="24"/>
        </w:rPr>
      </w:pPr>
      <w:r>
        <w:rPr>
          <w:rFonts w:ascii="宋体" w:hAnsi="宋体"/>
          <w:sz w:val="24"/>
        </w:rPr>
        <w:drawing>
          <wp:inline distT="0" distB="0" distL="0" distR="0">
            <wp:extent cx="3165475" cy="19030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71784" cy="1906584"/>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图4</w:t>
      </w:r>
      <w:r>
        <w:rPr>
          <w:rFonts w:ascii="黑体" w:hAnsi="黑体" w:eastAsia="黑体"/>
          <w:szCs w:val="21"/>
        </w:rPr>
        <w:t xml:space="preserve">  </w:t>
      </w:r>
      <w:r>
        <w:rPr>
          <w:rFonts w:hint="eastAsia" w:ascii="黑体" w:hAnsi="黑体" w:eastAsia="黑体"/>
          <w:szCs w:val="21"/>
        </w:rPr>
        <w:t>座椅间距对假人伤害的总体影响</w:t>
      </w:r>
    </w:p>
    <w:p>
      <w:pPr>
        <w:numPr>
          <w:ilvl w:val="2"/>
          <w:numId w:val="6"/>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验证试验统计分析</w:t>
      </w:r>
    </w:p>
    <w:p>
      <w:pPr>
        <w:spacing w:line="400" w:lineRule="exact"/>
        <w:ind w:firstLine="420" w:firstLineChars="200"/>
        <w:rPr>
          <w:rFonts w:hint="eastAsia" w:ascii="宋体" w:hAnsi="宋体"/>
          <w:szCs w:val="21"/>
        </w:rPr>
      </w:pPr>
      <w:r>
        <w:rPr>
          <w:rFonts w:hint="eastAsia" w:ascii="宋体" w:hAnsi="宋体"/>
          <w:szCs w:val="21"/>
        </w:rPr>
        <w:t>标准工作组组织了大规模的验证试验，由宇通、中通、雅式提供座椅样品，由天检中心、招商局检测中心、襄阳达安、中国汽研提供试验技术支持。共计对8款校车座椅，进行了32次台车动态试验，采集了58组假人数据。</w:t>
      </w:r>
    </w:p>
    <w:p>
      <w:pPr>
        <w:spacing w:line="400" w:lineRule="exact"/>
        <w:ind w:firstLine="420" w:firstLineChars="200"/>
        <w:rPr>
          <w:rFonts w:hint="eastAsia" w:ascii="宋体" w:hAnsi="宋体"/>
          <w:szCs w:val="21"/>
        </w:rPr>
      </w:pPr>
      <w:r>
        <w:rPr>
          <w:rFonts w:hint="eastAsia" w:ascii="宋体" w:hAnsi="宋体"/>
          <w:szCs w:val="21"/>
        </w:rPr>
        <w:t>正碰试验共采集24组5th假人的伤害数据，统计结果见图5，头部HIC超标率为20%，颈部Nij超标率为62%，胸部加速度超标率为4%，大腿压缩力超标率为0%。</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4"/>
        <w:gridCol w:w="4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514792"/>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a</w:t>
            </w:r>
            <w:r>
              <w:rPr>
                <w:rFonts w:ascii="黑体" w:hAnsi="黑体" w:eastAsia="黑体"/>
                <w:szCs w:val="21"/>
              </w:rPr>
              <w:t>)</w:t>
            </w:r>
            <w:r>
              <w:rPr>
                <w:rFonts w:hint="eastAsia" w:ascii="黑体" w:hAnsi="黑体" w:eastAsia="黑体"/>
                <w:szCs w:val="21"/>
              </w:rPr>
              <w:t>头部HIC</w:t>
            </w:r>
          </w:p>
        </w:tc>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0" cy="1514792"/>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c</w:t>
            </w:r>
            <w:r>
              <w:rPr>
                <w:rFonts w:ascii="黑体" w:hAnsi="黑体" w:eastAsia="黑体"/>
                <w:szCs w:val="21"/>
              </w:rPr>
              <w:t>)</w:t>
            </w:r>
            <w:r>
              <w:rPr>
                <w:rFonts w:hint="eastAsia" w:ascii="黑体" w:hAnsi="黑体" w:eastAsia="黑体"/>
                <w:szCs w:val="21"/>
              </w:rPr>
              <w:t>胸部加速度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25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0000" cy="1512906"/>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b</w:t>
            </w:r>
            <w:r>
              <w:rPr>
                <w:rFonts w:ascii="黑体" w:hAnsi="黑体" w:eastAsia="黑体"/>
                <w:szCs w:val="21"/>
              </w:rPr>
              <w:t>)</w:t>
            </w:r>
            <w:r>
              <w:rPr>
                <w:rFonts w:hint="eastAsia" w:ascii="黑体" w:hAnsi="黑体" w:eastAsia="黑体"/>
                <w:szCs w:val="21"/>
              </w:rPr>
              <w:t>颈部Nij</w:t>
            </w:r>
          </w:p>
        </w:tc>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25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20000" cy="1512906"/>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d</w:t>
            </w:r>
            <w:r>
              <w:rPr>
                <w:rFonts w:ascii="黑体" w:hAnsi="黑体" w:eastAsia="黑体"/>
                <w:szCs w:val="21"/>
              </w:rPr>
              <w:t>)</w:t>
            </w:r>
            <w:r>
              <w:rPr>
                <w:rFonts w:hint="eastAsia" w:ascii="黑体" w:hAnsi="黑体" w:eastAsia="黑体"/>
                <w:szCs w:val="21"/>
              </w:rPr>
              <w:t>大腿压缩力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vAlign w:val="bottom"/>
          </w:tcPr>
          <w:p>
            <w:pPr>
              <w:adjustRightInd w:val="0"/>
              <w:snapToGrid w:val="0"/>
              <w:spacing w:line="300" w:lineRule="auto"/>
              <w:jc w:val="center"/>
              <w:rPr>
                <w:rFonts w:ascii="黑体" w:hAnsi="黑体" w:eastAsia="黑体"/>
                <w:szCs w:val="21"/>
              </w:rPr>
            </w:pPr>
            <w:r>
              <w:rPr>
                <w:rFonts w:hint="eastAsia" w:ascii="黑体" w:hAnsi="黑体" w:eastAsia="黑体"/>
                <w:szCs w:val="21"/>
              </w:rPr>
              <w:t>图5</w:t>
            </w:r>
            <w:r>
              <w:rPr>
                <w:rFonts w:ascii="黑体" w:hAnsi="黑体" w:eastAsia="黑体"/>
                <w:szCs w:val="21"/>
              </w:rPr>
              <w:t xml:space="preserve">  </w:t>
            </w:r>
            <w:r>
              <w:rPr>
                <w:rFonts w:hint="eastAsia" w:ascii="黑体" w:hAnsi="黑体" w:eastAsia="黑体"/>
                <w:szCs w:val="21"/>
              </w:rPr>
              <w:t>前碰试验</w:t>
            </w:r>
            <w:r>
              <w:rPr>
                <w:rFonts w:ascii="黑体" w:hAnsi="黑体" w:eastAsia="黑体"/>
                <w:szCs w:val="21"/>
              </w:rPr>
              <w:t>5</w:t>
            </w:r>
            <w:r>
              <w:rPr>
                <w:rFonts w:hint="eastAsia" w:ascii="黑体" w:hAnsi="黑体" w:eastAsia="黑体"/>
                <w:szCs w:val="21"/>
                <w:vertAlign w:val="superscript"/>
              </w:rPr>
              <w:t>th</w:t>
            </w:r>
            <w:r>
              <w:rPr>
                <w:rFonts w:hint="eastAsia" w:ascii="黑体" w:hAnsi="黑体" w:eastAsia="黑体"/>
                <w:szCs w:val="21"/>
              </w:rPr>
              <w:t>假人伤害分布</w:t>
            </w:r>
          </w:p>
        </w:tc>
      </w:tr>
    </w:tbl>
    <w:p>
      <w:pPr>
        <w:spacing w:line="400" w:lineRule="exact"/>
        <w:ind w:firstLine="420" w:firstLineChars="200"/>
        <w:rPr>
          <w:rFonts w:hint="eastAsia" w:ascii="宋体" w:hAnsi="宋体"/>
          <w:szCs w:val="21"/>
        </w:rPr>
      </w:pPr>
      <w:r>
        <w:rPr>
          <w:rFonts w:hint="eastAsia" w:ascii="宋体" w:hAnsi="宋体"/>
          <w:szCs w:val="21"/>
        </w:rPr>
        <w:t>正碰试验共采集13组Q6假人的伤害数据，统计结果见图6，头部HIC超标率为22%，颈部Nij超标率为53%，胸部加速度超标率为53%。</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4"/>
        <w:gridCol w:w="4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1514792"/>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a</w:t>
            </w:r>
            <w:r>
              <w:rPr>
                <w:rFonts w:ascii="黑体" w:hAnsi="黑体" w:eastAsia="黑体"/>
                <w:szCs w:val="21"/>
              </w:rPr>
              <w:t>)</w:t>
            </w:r>
            <w:r>
              <w:rPr>
                <w:rFonts w:hint="eastAsia" w:ascii="黑体" w:hAnsi="黑体" w:eastAsia="黑体"/>
                <w:szCs w:val="21"/>
              </w:rPr>
              <w:t>头部HIC</w:t>
            </w:r>
          </w:p>
        </w:tc>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514792"/>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b</w:t>
            </w:r>
            <w:r>
              <w:rPr>
                <w:rFonts w:ascii="黑体" w:hAnsi="黑体" w:eastAsia="黑体"/>
                <w:szCs w:val="21"/>
              </w:rPr>
              <w:t>)</w:t>
            </w:r>
            <w:r>
              <w:rPr>
                <w:rFonts w:hint="eastAsia" w:ascii="黑体" w:hAnsi="黑体" w:eastAsia="黑体"/>
                <w:szCs w:val="21"/>
              </w:rPr>
              <w:t>颈部Nij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20000" cy="1514792"/>
                          </a:xfrm>
                          <a:prstGeom prst="rect">
                            <a:avLst/>
                          </a:prstGeom>
                          <a:noFill/>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c</w:t>
            </w:r>
            <w:r>
              <w:rPr>
                <w:rFonts w:ascii="黑体" w:hAnsi="黑体" w:eastAsia="黑体"/>
                <w:szCs w:val="21"/>
              </w:rPr>
              <w:t>)</w:t>
            </w:r>
            <w:r>
              <w:rPr>
                <w:rFonts w:hint="eastAsia" w:ascii="黑体" w:hAnsi="黑体" w:eastAsia="黑体"/>
                <w:szCs w:val="21"/>
              </w:rPr>
              <w:t>胸部加速度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vAlign w:val="bottom"/>
          </w:tcPr>
          <w:p>
            <w:pPr>
              <w:adjustRightInd w:val="0"/>
              <w:snapToGrid w:val="0"/>
              <w:spacing w:line="300" w:lineRule="auto"/>
              <w:jc w:val="center"/>
              <w:rPr>
                <w:rFonts w:ascii="黑体" w:hAnsi="黑体" w:eastAsia="黑体"/>
                <w:szCs w:val="21"/>
              </w:rPr>
            </w:pPr>
            <w:r>
              <w:rPr>
                <w:rFonts w:hint="eastAsia" w:ascii="黑体" w:hAnsi="黑体" w:eastAsia="黑体"/>
                <w:szCs w:val="21"/>
              </w:rPr>
              <w:t>图6</w:t>
            </w:r>
            <w:r>
              <w:rPr>
                <w:rFonts w:ascii="黑体" w:hAnsi="黑体" w:eastAsia="黑体"/>
                <w:szCs w:val="21"/>
              </w:rPr>
              <w:t xml:space="preserve">  </w:t>
            </w:r>
            <w:r>
              <w:rPr>
                <w:rFonts w:hint="eastAsia" w:ascii="黑体" w:hAnsi="黑体" w:eastAsia="黑体"/>
                <w:szCs w:val="21"/>
              </w:rPr>
              <w:t>前碰试验Q6假人伤害分布</w:t>
            </w:r>
          </w:p>
        </w:tc>
      </w:tr>
    </w:tbl>
    <w:p>
      <w:pPr>
        <w:adjustRightInd w:val="0"/>
        <w:snapToGrid w:val="0"/>
        <w:spacing w:line="300" w:lineRule="auto"/>
        <w:ind w:firstLine="480" w:firstLineChars="200"/>
        <w:rPr>
          <w:rFonts w:ascii="宋体" w:hAnsi="宋体"/>
          <w:sz w:val="24"/>
        </w:rPr>
      </w:pPr>
    </w:p>
    <w:p>
      <w:pPr>
        <w:spacing w:line="400" w:lineRule="exact"/>
        <w:ind w:firstLine="420" w:firstLineChars="200"/>
        <w:rPr>
          <w:rFonts w:hint="eastAsia" w:ascii="宋体" w:hAnsi="宋体"/>
          <w:szCs w:val="21"/>
        </w:rPr>
      </w:pPr>
      <w:r>
        <w:rPr>
          <w:rFonts w:hint="eastAsia" w:ascii="宋体" w:hAnsi="宋体"/>
          <w:szCs w:val="21"/>
        </w:rPr>
        <w:t>后碰动态试验共采集12组5th假人和9组Q6假人的伤害数据，头部HIC、颈部Nij、胸部加速度、座椅后倾角超标率均为0%，见图7。</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4"/>
        <w:gridCol w:w="4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7"/>
                          <a:stretch>
                            <a:fillRect/>
                          </a:stretch>
                        </pic:blipFill>
                        <pic:spPr>
                          <a:xfrm>
                            <a:off x="0" y="0"/>
                            <a:ext cx="2520000" cy="151468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a</w:t>
            </w:r>
            <w:r>
              <w:rPr>
                <w:rFonts w:ascii="黑体" w:hAnsi="黑体" w:eastAsia="黑体"/>
                <w:szCs w:val="21"/>
              </w:rPr>
              <w:t>)</w:t>
            </w:r>
            <w:r>
              <w:rPr>
                <w:rFonts w:hint="eastAsia" w:ascii="黑体" w:hAnsi="黑体" w:eastAsia="黑体"/>
                <w:szCs w:val="21"/>
              </w:rPr>
              <w:t>头部HIC</w:t>
            </w:r>
          </w:p>
        </w:tc>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8"/>
                          <a:stretch>
                            <a:fillRect/>
                          </a:stretch>
                        </pic:blipFill>
                        <pic:spPr>
                          <a:xfrm>
                            <a:off x="0" y="0"/>
                            <a:ext cx="2520000" cy="151468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c</w:t>
            </w:r>
            <w:r>
              <w:rPr>
                <w:rFonts w:ascii="黑体" w:hAnsi="黑体" w:eastAsia="黑体"/>
                <w:szCs w:val="21"/>
              </w:rPr>
              <w:t>)</w:t>
            </w:r>
            <w:r>
              <w:rPr>
                <w:rFonts w:hint="eastAsia" w:ascii="黑体" w:hAnsi="黑体" w:eastAsia="黑体"/>
                <w:szCs w:val="21"/>
              </w:rPr>
              <w:t>胸部加速度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a:stretch>
                            <a:fillRect/>
                          </a:stretch>
                        </pic:blipFill>
                        <pic:spPr>
                          <a:xfrm>
                            <a:off x="0" y="0"/>
                            <a:ext cx="2520000" cy="151468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b</w:t>
            </w:r>
            <w:r>
              <w:rPr>
                <w:rFonts w:ascii="黑体" w:hAnsi="黑体" w:eastAsia="黑体"/>
                <w:szCs w:val="21"/>
              </w:rPr>
              <w:t>)</w:t>
            </w:r>
            <w:r>
              <w:rPr>
                <w:rFonts w:hint="eastAsia" w:ascii="黑体" w:hAnsi="黑体" w:eastAsia="黑体"/>
                <w:szCs w:val="21"/>
              </w:rPr>
              <w:t>颈部Nij</w:t>
            </w:r>
          </w:p>
        </w:tc>
        <w:tc>
          <w:tcPr>
            <w:tcW w:w="4153"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14475"/>
                  <wp:effectExtent l="0" t="0" r="0" b="952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0"/>
                          <a:stretch>
                            <a:fillRect/>
                          </a:stretch>
                        </pic:blipFill>
                        <pic:spPr>
                          <a:xfrm>
                            <a:off x="0" y="0"/>
                            <a:ext cx="2520000" cy="1514681"/>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d</w:t>
            </w:r>
            <w:r>
              <w:rPr>
                <w:rFonts w:ascii="黑体" w:hAnsi="黑体" w:eastAsia="黑体"/>
                <w:szCs w:val="21"/>
              </w:rPr>
              <w:t>)</w:t>
            </w:r>
            <w:r>
              <w:rPr>
                <w:rFonts w:hint="eastAsia" w:ascii="黑体" w:hAnsi="黑体" w:eastAsia="黑体"/>
                <w:szCs w:val="21"/>
              </w:rPr>
              <w:t>靠背后倾角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gridSpan w:val="2"/>
            <w:vAlign w:val="bottom"/>
          </w:tcPr>
          <w:p>
            <w:pPr>
              <w:adjustRightInd w:val="0"/>
              <w:snapToGrid w:val="0"/>
              <w:spacing w:line="300" w:lineRule="auto"/>
              <w:jc w:val="center"/>
              <w:rPr>
                <w:rFonts w:ascii="黑体" w:hAnsi="黑体" w:eastAsia="黑体"/>
                <w:szCs w:val="21"/>
              </w:rPr>
            </w:pPr>
            <w:r>
              <w:rPr>
                <w:rFonts w:hint="eastAsia" w:ascii="黑体" w:hAnsi="黑体" w:eastAsia="黑体"/>
                <w:szCs w:val="21"/>
              </w:rPr>
              <w:t>图7</w:t>
            </w:r>
            <w:r>
              <w:rPr>
                <w:rFonts w:ascii="黑体" w:hAnsi="黑体" w:eastAsia="黑体"/>
                <w:szCs w:val="21"/>
              </w:rPr>
              <w:t xml:space="preserve">  </w:t>
            </w:r>
            <w:r>
              <w:rPr>
                <w:rFonts w:hint="eastAsia" w:ascii="黑体" w:hAnsi="黑体" w:eastAsia="黑体"/>
                <w:szCs w:val="21"/>
              </w:rPr>
              <w:t>后碰动态试验假人伤害及靠背后倾角分布</w:t>
            </w:r>
          </w:p>
        </w:tc>
      </w:tr>
    </w:tbl>
    <w:p>
      <w:pPr>
        <w:adjustRightInd w:val="0"/>
        <w:snapToGrid w:val="0"/>
        <w:spacing w:line="300" w:lineRule="auto"/>
        <w:ind w:firstLine="480" w:firstLineChars="200"/>
        <w:rPr>
          <w:rFonts w:ascii="宋体" w:hAnsi="宋体"/>
          <w:sz w:val="24"/>
        </w:rPr>
      </w:pPr>
    </w:p>
    <w:p>
      <w:pPr>
        <w:numPr>
          <w:ilvl w:val="2"/>
          <w:numId w:val="6"/>
        </w:numPr>
        <w:tabs>
          <w:tab w:val="left" w:pos="720"/>
        </w:tabs>
        <w:spacing w:line="240" w:lineRule="auto"/>
        <w:ind w:left="0" w:firstLine="420" w:firstLineChars="0"/>
        <w:rPr>
          <w:rFonts w:hint="eastAsia" w:ascii="黑体" w:hAnsi="黑体" w:eastAsia="黑体"/>
          <w:bCs/>
          <w:szCs w:val="21"/>
        </w:rPr>
      </w:pPr>
      <w:r>
        <w:rPr>
          <w:rFonts w:hint="eastAsia" w:ascii="黑体" w:hAnsi="黑体" w:eastAsia="黑体"/>
          <w:bCs/>
          <w:szCs w:val="21"/>
        </w:rPr>
        <w:t>颈部伤害优化分析</w:t>
      </w:r>
    </w:p>
    <w:p>
      <w:pPr>
        <w:spacing w:line="400" w:lineRule="exact"/>
        <w:ind w:firstLine="420" w:firstLineChars="200"/>
        <w:rPr>
          <w:rFonts w:hint="eastAsia" w:ascii="宋体" w:hAnsi="宋体"/>
          <w:szCs w:val="21"/>
        </w:rPr>
      </w:pPr>
      <w:r>
        <w:rPr>
          <w:rFonts w:hint="eastAsia" w:ascii="宋体" w:hAnsi="宋体"/>
          <w:szCs w:val="21"/>
        </w:rPr>
        <w:t>从验证试验结果可见，现有产品的颈部伤害普遍较高，超标率很大。为此标准修订牵头单位联合企业进行颈部伤害优化的尝试，分别采用调整第一排座椅靠背的吸能和将第二排座椅安全带改为三点式安全带两种方案，进行样品制备和台车试验。如图8，图中1为未做改动的产品现状，2为调整第一排座椅靠背吸能的方案，3为第二排座椅改三点式安全带的方案。结果表明，使用三点式安全带约束乘员能非常有效降低颈部伤害值，同时对其他伤害指标也都有较大的优化作用；相比之下，调整第一排座椅靠背吸能的方案，虽然也能降低颈部伤害，但是仍然大于标准限值。这主要是由于时间紧张，并且仅凭工程经验进行了一次尝试，没有使用CAE等工具，未能获得最优解。相信采用调整第一排座椅靠背结构和吸能的方案，同样是降低颈部伤害，满足新标准的一种技术手段。</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4"/>
        <w:gridCol w:w="4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40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1"/>
                          <a:stretch>
                            <a:fillRect/>
                          </a:stretch>
                        </pic:blipFill>
                        <pic:spPr>
                          <a:xfrm>
                            <a:off x="0" y="0"/>
                            <a:ext cx="2520000" cy="1524032"/>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a</w:t>
            </w:r>
            <w:r>
              <w:rPr>
                <w:rFonts w:ascii="黑体" w:hAnsi="黑体" w:eastAsia="黑体"/>
                <w:szCs w:val="21"/>
              </w:rPr>
              <w:t>)</w:t>
            </w:r>
            <w:r>
              <w:rPr>
                <w:rFonts w:hint="eastAsia" w:ascii="黑体" w:hAnsi="黑体" w:eastAsia="黑体"/>
                <w:szCs w:val="21"/>
              </w:rPr>
              <w:t>颈部Fz</w:t>
            </w:r>
          </w:p>
        </w:tc>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590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2"/>
                          <a:stretch>
                            <a:fillRect/>
                          </a:stretch>
                        </pic:blipFill>
                        <pic:spPr>
                          <a:xfrm>
                            <a:off x="0" y="0"/>
                            <a:ext cx="2520000" cy="1526055"/>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d</w:t>
            </w:r>
            <w:r>
              <w:rPr>
                <w:rFonts w:ascii="黑体" w:hAnsi="黑体" w:eastAsia="黑体"/>
                <w:szCs w:val="21"/>
              </w:rPr>
              <w:t>)</w:t>
            </w:r>
            <w:r>
              <w:rPr>
                <w:rFonts w:hint="eastAsia" w:ascii="黑体" w:hAnsi="黑体" w:eastAsia="黑体"/>
                <w:szCs w:val="21"/>
              </w:rPr>
              <w:t>头部HIC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7175"/>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3"/>
                          <a:stretch>
                            <a:fillRect/>
                          </a:stretch>
                        </pic:blipFill>
                        <pic:spPr>
                          <a:xfrm>
                            <a:off x="0" y="0"/>
                            <a:ext cx="2520000" cy="1527374"/>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b</w:t>
            </w:r>
            <w:r>
              <w:rPr>
                <w:rFonts w:ascii="黑体" w:hAnsi="黑体" w:eastAsia="黑体"/>
                <w:szCs w:val="21"/>
              </w:rPr>
              <w:t>)</w:t>
            </w:r>
            <w:r>
              <w:rPr>
                <w:rFonts w:hint="eastAsia" w:ascii="黑体" w:hAnsi="黑体" w:eastAsia="黑体"/>
                <w:szCs w:val="21"/>
              </w:rPr>
              <w:t>颈部My</w:t>
            </w:r>
          </w:p>
        </w:tc>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717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4"/>
                          <a:stretch>
                            <a:fillRect/>
                          </a:stretch>
                        </pic:blipFill>
                        <pic:spPr>
                          <a:xfrm>
                            <a:off x="0" y="0"/>
                            <a:ext cx="2520000" cy="1527374"/>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e</w:t>
            </w:r>
            <w:r>
              <w:rPr>
                <w:rFonts w:ascii="黑体" w:hAnsi="黑体" w:eastAsia="黑体"/>
                <w:szCs w:val="21"/>
              </w:rPr>
              <w:t>)</w:t>
            </w:r>
            <w:r>
              <w:rPr>
                <w:rFonts w:hint="eastAsia" w:ascii="黑体" w:hAnsi="黑体" w:eastAsia="黑体"/>
                <w:szCs w:val="21"/>
              </w:rPr>
              <w:t>胸部加速度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400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5"/>
                          <a:stretch>
                            <a:fillRect/>
                          </a:stretch>
                        </pic:blipFill>
                        <pic:spPr>
                          <a:xfrm>
                            <a:off x="0" y="0"/>
                            <a:ext cx="2520000" cy="1524032"/>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c</w:t>
            </w:r>
            <w:r>
              <w:rPr>
                <w:rFonts w:ascii="黑体" w:hAnsi="黑体" w:eastAsia="黑体"/>
                <w:szCs w:val="21"/>
              </w:rPr>
              <w:t>)</w:t>
            </w:r>
            <w:r>
              <w:rPr>
                <w:rFonts w:hint="eastAsia" w:ascii="黑体" w:hAnsi="黑体" w:eastAsia="黑体"/>
                <w:szCs w:val="21"/>
              </w:rPr>
              <w:t>颈部Nij</w:t>
            </w:r>
          </w:p>
        </w:tc>
        <w:tc>
          <w:tcPr>
            <w:tcW w:w="4148" w:type="dxa"/>
            <w:vAlign w:val="bottom"/>
          </w:tcPr>
          <w:p>
            <w:pPr>
              <w:adjustRightInd w:val="0"/>
              <w:snapToGrid w:val="0"/>
              <w:spacing w:line="300" w:lineRule="auto"/>
              <w:jc w:val="center"/>
              <w:rPr>
                <w:rFonts w:ascii="黑体" w:hAnsi="黑体" w:eastAsia="黑体"/>
                <w:szCs w:val="21"/>
              </w:rPr>
            </w:pPr>
            <w:r>
              <w:rPr>
                <w:rFonts w:ascii="黑体" w:hAnsi="黑体" w:eastAsia="黑体"/>
                <w:szCs w:val="21"/>
              </w:rPr>
              <w:drawing>
                <wp:inline distT="0" distB="0" distL="0" distR="0">
                  <wp:extent cx="2519680" cy="152590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6"/>
                          <a:stretch>
                            <a:fillRect/>
                          </a:stretch>
                        </pic:blipFill>
                        <pic:spPr>
                          <a:xfrm>
                            <a:off x="0" y="0"/>
                            <a:ext cx="2520000" cy="1526055"/>
                          </a:xfrm>
                          <a:prstGeom prst="rect">
                            <a:avLst/>
                          </a:prstGeom>
                        </pic:spPr>
                      </pic:pic>
                    </a:graphicData>
                  </a:graphic>
                </wp:inline>
              </w:drawing>
            </w:r>
          </w:p>
          <w:p>
            <w:pPr>
              <w:adjustRightInd w:val="0"/>
              <w:snapToGrid w:val="0"/>
              <w:spacing w:line="300" w:lineRule="auto"/>
              <w:jc w:val="center"/>
              <w:rPr>
                <w:rFonts w:ascii="黑体" w:hAnsi="黑体" w:eastAsia="黑体"/>
                <w:szCs w:val="21"/>
              </w:rPr>
            </w:pPr>
            <w:r>
              <w:rPr>
                <w:rFonts w:hint="eastAsia" w:ascii="黑体" w:hAnsi="黑体" w:eastAsia="黑体"/>
                <w:szCs w:val="21"/>
              </w:rPr>
              <w:t>f</w:t>
            </w:r>
            <w:r>
              <w:rPr>
                <w:rFonts w:ascii="黑体" w:hAnsi="黑体" w:eastAsia="黑体"/>
                <w:szCs w:val="21"/>
              </w:rPr>
              <w:t>)</w:t>
            </w:r>
            <w:r>
              <w:rPr>
                <w:rFonts w:hint="eastAsia" w:ascii="黑体" w:hAnsi="黑体" w:eastAsia="黑体"/>
                <w:szCs w:val="21"/>
              </w:rPr>
              <w:t>大腿压缩力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bottom"/>
          </w:tcPr>
          <w:p>
            <w:pPr>
              <w:adjustRightInd w:val="0"/>
              <w:snapToGrid w:val="0"/>
              <w:spacing w:line="300" w:lineRule="auto"/>
              <w:jc w:val="center"/>
              <w:rPr>
                <w:rFonts w:ascii="黑体" w:hAnsi="黑体" w:eastAsia="黑体"/>
                <w:szCs w:val="21"/>
              </w:rPr>
            </w:pPr>
            <w:r>
              <w:rPr>
                <w:rFonts w:hint="eastAsia" w:ascii="黑体" w:hAnsi="黑体" w:eastAsia="黑体"/>
                <w:szCs w:val="21"/>
              </w:rPr>
              <w:t xml:space="preserve">图8 </w:t>
            </w:r>
            <w:r>
              <w:rPr>
                <w:rFonts w:ascii="黑体" w:hAnsi="黑体" w:eastAsia="黑体"/>
                <w:szCs w:val="21"/>
              </w:rPr>
              <w:t xml:space="preserve"> </w:t>
            </w:r>
            <w:r>
              <w:rPr>
                <w:rFonts w:hint="eastAsia" w:ascii="黑体" w:hAnsi="黑体" w:eastAsia="黑体"/>
                <w:szCs w:val="21"/>
              </w:rPr>
              <w:t>优化方案的效果对比</w:t>
            </w:r>
          </w:p>
        </w:tc>
      </w:tr>
    </w:tbl>
    <w:p>
      <w:pPr>
        <w:adjustRightInd w:val="0"/>
        <w:snapToGrid w:val="0"/>
        <w:spacing w:line="300" w:lineRule="auto"/>
        <w:ind w:firstLine="480" w:firstLineChars="200"/>
        <w:rPr>
          <w:rFonts w:ascii="宋体" w:hAnsi="宋体"/>
          <w:sz w:val="24"/>
        </w:rPr>
      </w:pP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1" w:name="_Toc64898477"/>
      <w:r>
        <w:rPr>
          <w:rFonts w:hint="eastAsia" w:eastAsia="黑体"/>
          <w:bCs/>
          <w:color w:val="000000"/>
          <w:kern w:val="0"/>
          <w:sz w:val="24"/>
          <w:lang w:val="en-US" w:eastAsia="zh-CN"/>
        </w:rPr>
        <w:t>三、与有关法律、行政法规和其他标准的关系</w:t>
      </w:r>
      <w:bookmarkEnd w:id="1"/>
    </w:p>
    <w:p>
      <w:pPr>
        <w:spacing w:line="400" w:lineRule="exact"/>
        <w:ind w:firstLine="420" w:firstLineChars="200"/>
        <w:rPr>
          <w:rFonts w:hint="eastAsia" w:ascii="宋体" w:hAnsi="宋体"/>
          <w:szCs w:val="21"/>
        </w:rPr>
      </w:pPr>
      <w:r>
        <w:rPr>
          <w:rFonts w:hint="eastAsia" w:ascii="宋体" w:hAnsi="宋体"/>
          <w:szCs w:val="21"/>
        </w:rPr>
        <w:t>本标准是专用校车被动安全的重要标准，与GB 7258《机动车运行安全技术条件》和GB 24407《专用校车安全技术条件》共同构成了校车车内乘员安全保护的标准体系；与现行相关法律、法规、规章及相关标准没有冲突或矛盾。</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2" w:name="_Toc64898478"/>
      <w:r>
        <w:rPr>
          <w:rFonts w:hint="eastAsia" w:eastAsia="黑体"/>
          <w:bCs/>
          <w:color w:val="000000"/>
          <w:kern w:val="0"/>
          <w:sz w:val="24"/>
          <w:lang w:val="en-US" w:eastAsia="zh-CN"/>
        </w:rPr>
        <w:t>四、与国际标准化组织、其他国家或者地区有关法律法规和标准的比对分析</w:t>
      </w:r>
      <w:bookmarkEnd w:id="2"/>
    </w:p>
    <w:p>
      <w:pPr>
        <w:spacing w:line="400" w:lineRule="exact"/>
        <w:ind w:firstLine="420" w:firstLineChars="200"/>
        <w:rPr>
          <w:rFonts w:hint="eastAsia" w:ascii="宋体" w:hAnsi="宋体"/>
          <w:szCs w:val="21"/>
        </w:rPr>
      </w:pPr>
      <w:r>
        <w:rPr>
          <w:rFonts w:hint="eastAsia" w:ascii="宋体" w:hAnsi="宋体"/>
          <w:szCs w:val="21"/>
        </w:rPr>
        <w:t>联合国法规中没有校车座椅标准，相似的标准有UN R80客车座椅标准，该标准考核了座椅前向碰撞的强度和防护性能，使用混III第50百分位成年假人，该标准没有对座椅后向碰撞的性能要求。GB 24406-2012制定时修改采用了UN R80中的前碰动态试验方法和性能要求，试验假人根据校车实际使用人群，选取了P系列6岁儿童假人和混III第5百分成年假人。</w:t>
      </w:r>
    </w:p>
    <w:p>
      <w:pPr>
        <w:spacing w:line="400" w:lineRule="exact"/>
        <w:ind w:firstLine="420" w:firstLineChars="200"/>
        <w:rPr>
          <w:rFonts w:hint="eastAsia" w:ascii="宋体" w:hAnsi="宋体"/>
          <w:szCs w:val="21"/>
        </w:rPr>
      </w:pPr>
      <w:r>
        <w:rPr>
          <w:rFonts w:hint="eastAsia" w:ascii="宋体" w:hAnsi="宋体"/>
          <w:szCs w:val="21"/>
        </w:rPr>
        <w:t>美国相关的标准有FMVSS 222《学童客车乘员座椅和碰撞保护》，标准中考核前向碰撞和后向碰撞过程中对座椅对乘员的约束保护作用，但是采用了静态试验的方法进行检测。因此GB 24406-2012中的后碰试验方法和性能要求采用了美标FMVSS 222中的静态抗后倾试验和要求。</w:t>
      </w:r>
    </w:p>
    <w:p>
      <w:pPr>
        <w:spacing w:line="400" w:lineRule="exact"/>
        <w:ind w:firstLine="420" w:firstLineChars="200"/>
        <w:rPr>
          <w:rFonts w:hint="eastAsia" w:ascii="宋体" w:hAnsi="宋体"/>
          <w:szCs w:val="21"/>
        </w:rPr>
      </w:pPr>
      <w:r>
        <w:rPr>
          <w:rFonts w:hint="eastAsia" w:ascii="宋体" w:hAnsi="宋体"/>
          <w:szCs w:val="21"/>
        </w:rPr>
        <w:t>本标准修订将抗后倾静态试验等能量转化为后碰动态试验，提出相应的试验方法和性能要求。将实验中使用的P系列6岁儿童假人更换为Q系列6岁儿童假人，并相应的提出适合该假人的伤害限值要求。修订后的标准与同类国际标准的对比见表3。</w:t>
      </w:r>
    </w:p>
    <w:p>
      <w:pPr>
        <w:adjustRightInd w:val="0"/>
        <w:snapToGrid w:val="0"/>
        <w:spacing w:line="300" w:lineRule="auto"/>
        <w:ind w:firstLine="480" w:firstLineChars="200"/>
        <w:rPr>
          <w:rFonts w:ascii="宋体" w:hAnsi="宋体"/>
          <w:sz w:val="24"/>
        </w:rPr>
      </w:pPr>
    </w:p>
    <w:p>
      <w:pPr>
        <w:adjustRightInd w:val="0"/>
        <w:snapToGrid w:val="0"/>
        <w:spacing w:line="300" w:lineRule="auto"/>
        <w:ind w:firstLine="420" w:firstLineChars="200"/>
        <w:jc w:val="center"/>
        <w:rPr>
          <w:rFonts w:ascii="黑体" w:hAnsi="黑体" w:eastAsia="黑体"/>
          <w:szCs w:val="21"/>
        </w:rPr>
      </w:pPr>
      <w:r>
        <w:rPr>
          <w:rFonts w:hint="eastAsia" w:ascii="黑体" w:hAnsi="黑体" w:eastAsia="黑体"/>
          <w:szCs w:val="21"/>
        </w:rPr>
        <w:t>表</w:t>
      </w:r>
      <w:r>
        <w:rPr>
          <w:rFonts w:ascii="黑体" w:hAnsi="黑体" w:eastAsia="黑体"/>
          <w:szCs w:val="21"/>
        </w:rPr>
        <w:t xml:space="preserve">3  </w:t>
      </w:r>
      <w:r>
        <w:rPr>
          <w:rFonts w:hint="eastAsia" w:ascii="黑体" w:hAnsi="黑体" w:eastAsia="黑体"/>
          <w:szCs w:val="21"/>
        </w:rPr>
        <w:t>修订后标准与同类国际标准的对比</w:t>
      </w:r>
    </w:p>
    <w:tbl>
      <w:tblPr>
        <w:tblStyle w:val="14"/>
        <w:tblW w:w="8312"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3106"/>
        <w:gridCol w:w="2024"/>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4" w:type="dxa"/>
            <w:vAlign w:val="center"/>
          </w:tcPr>
          <w:p>
            <w:pPr>
              <w:adjustRightInd w:val="0"/>
              <w:snapToGrid w:val="0"/>
              <w:jc w:val="center"/>
              <w:rPr>
                <w:rFonts w:ascii="宋体" w:hAnsi="宋体"/>
                <w:sz w:val="18"/>
                <w:szCs w:val="18"/>
              </w:rPr>
            </w:pPr>
          </w:p>
        </w:tc>
        <w:tc>
          <w:tcPr>
            <w:tcW w:w="3106" w:type="dxa"/>
            <w:vAlign w:val="center"/>
          </w:tcPr>
          <w:p>
            <w:pPr>
              <w:adjustRightInd w:val="0"/>
              <w:snapToGrid w:val="0"/>
              <w:jc w:val="center"/>
              <w:rPr>
                <w:rFonts w:ascii="宋体" w:hAnsi="宋体"/>
                <w:sz w:val="18"/>
                <w:szCs w:val="18"/>
              </w:rPr>
            </w:pPr>
            <w:r>
              <w:rPr>
                <w:rFonts w:hint="eastAsia" w:ascii="宋体" w:hAnsi="宋体"/>
                <w:sz w:val="18"/>
                <w:szCs w:val="18"/>
              </w:rPr>
              <w:t>修订后的GB 24406-XXXX</w:t>
            </w:r>
          </w:p>
        </w:tc>
        <w:tc>
          <w:tcPr>
            <w:tcW w:w="2024" w:type="dxa"/>
            <w:vAlign w:val="center"/>
          </w:tcPr>
          <w:p>
            <w:pPr>
              <w:adjustRightInd w:val="0"/>
              <w:snapToGrid w:val="0"/>
              <w:jc w:val="center"/>
              <w:rPr>
                <w:rFonts w:ascii="宋体" w:hAnsi="宋体"/>
                <w:sz w:val="18"/>
                <w:szCs w:val="18"/>
              </w:rPr>
            </w:pPr>
            <w:r>
              <w:rPr>
                <w:rFonts w:hint="eastAsia" w:ascii="宋体" w:hAnsi="宋体"/>
                <w:sz w:val="18"/>
                <w:szCs w:val="18"/>
              </w:rPr>
              <w:t>FMVSS 222</w:t>
            </w:r>
          </w:p>
        </w:tc>
        <w:tc>
          <w:tcPr>
            <w:tcW w:w="2058" w:type="dxa"/>
            <w:vAlign w:val="center"/>
          </w:tcPr>
          <w:p>
            <w:pPr>
              <w:adjustRightInd w:val="0"/>
              <w:snapToGrid w:val="0"/>
              <w:jc w:val="center"/>
              <w:rPr>
                <w:rFonts w:ascii="宋体" w:hAnsi="宋体"/>
                <w:sz w:val="18"/>
                <w:szCs w:val="18"/>
              </w:rPr>
            </w:pPr>
            <w:r>
              <w:rPr>
                <w:rFonts w:hint="eastAsia" w:ascii="宋体" w:hAnsi="宋体"/>
                <w:sz w:val="18"/>
                <w:szCs w:val="18"/>
              </w:rPr>
              <w:t>UN R80</w:t>
            </w:r>
            <w:r>
              <w:rPr>
                <w:rFonts w:ascii="宋体" w:hAnsi="宋体"/>
                <w:sz w:val="18"/>
                <w:szCs w:val="18"/>
              </w:rPr>
              <w:t>（客车</w:t>
            </w:r>
            <w:r>
              <w:rPr>
                <w:rFonts w:hint="eastAsia" w:ascii="宋体" w:hAnsi="宋体"/>
                <w:sz w:val="18"/>
                <w:szCs w:val="18"/>
              </w:rPr>
              <w:t>座椅</w:t>
            </w:r>
            <w:r>
              <w:rPr>
                <w:rFonts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1124" w:type="dxa"/>
            <w:vAlign w:val="center"/>
          </w:tcPr>
          <w:p>
            <w:pPr>
              <w:adjustRightInd w:val="0"/>
              <w:snapToGrid w:val="0"/>
              <w:jc w:val="center"/>
              <w:rPr>
                <w:rFonts w:ascii="宋体" w:hAnsi="宋体"/>
                <w:sz w:val="18"/>
                <w:szCs w:val="18"/>
              </w:rPr>
            </w:pPr>
            <w:r>
              <w:rPr>
                <w:rFonts w:hint="eastAsia" w:ascii="宋体" w:hAnsi="宋体"/>
                <w:sz w:val="18"/>
                <w:szCs w:val="18"/>
              </w:rPr>
              <w:t>前碰性能</w:t>
            </w:r>
          </w:p>
        </w:tc>
        <w:tc>
          <w:tcPr>
            <w:tcW w:w="3106" w:type="dxa"/>
          </w:tcPr>
          <w:p>
            <w:pPr>
              <w:adjustRightInd w:val="0"/>
              <w:snapToGrid w:val="0"/>
              <w:jc w:val="center"/>
              <w:rPr>
                <w:rFonts w:ascii="宋体" w:hAnsi="宋体"/>
                <w:sz w:val="18"/>
                <w:szCs w:val="18"/>
              </w:rPr>
            </w:pPr>
            <w:r>
              <w:rPr>
                <w:rFonts w:ascii="宋体" w:hAnsi="宋体"/>
                <w:sz w:val="18"/>
                <w:szCs w:val="18"/>
              </w:rPr>
              <w:t>动态试验</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ascii="宋体" w:hAnsi="宋体"/>
                <w:sz w:val="18"/>
                <w:szCs w:val="18"/>
              </w:rPr>
              <w:t>移动量</w:t>
            </w:r>
            <w:r>
              <w:rPr>
                <w:rFonts w:hint="eastAsia" w:ascii="宋体" w:hAnsi="宋体"/>
                <w:sz w:val="18"/>
                <w:szCs w:val="18"/>
              </w:rPr>
              <w:t>≤1.1m</w:t>
            </w:r>
            <w:r>
              <w:rPr>
                <w:rFonts w:ascii="宋体" w:hAnsi="宋体"/>
                <w:sz w:val="18"/>
                <w:szCs w:val="18"/>
              </w:rPr>
              <w:t>(</w:t>
            </w:r>
            <w:r>
              <w:rPr>
                <w:rFonts w:hint="eastAsia" w:ascii="宋体" w:hAnsi="宋体"/>
                <w:sz w:val="18"/>
                <w:szCs w:val="18"/>
              </w:rPr>
              <w:t>幼儿、小学生</w:t>
            </w:r>
            <w:r>
              <w:rPr>
                <w:rFonts w:ascii="宋体" w:hAnsi="宋体"/>
                <w:sz w:val="18"/>
                <w:szCs w:val="18"/>
              </w:rPr>
              <w:t>)</w:t>
            </w:r>
          </w:p>
          <w:p>
            <w:pPr>
              <w:adjustRightInd w:val="0"/>
              <w:snapToGrid w:val="0"/>
              <w:jc w:val="center"/>
              <w:rPr>
                <w:rFonts w:ascii="宋体" w:hAnsi="宋体"/>
                <w:sz w:val="18"/>
                <w:szCs w:val="18"/>
              </w:rPr>
            </w:pPr>
            <w:r>
              <w:rPr>
                <w:rFonts w:ascii="宋体" w:hAnsi="宋体"/>
                <w:sz w:val="18"/>
                <w:szCs w:val="18"/>
              </w:rPr>
              <w:t>或</w:t>
            </w:r>
            <w:r>
              <w:rPr>
                <w:rFonts w:hint="eastAsia" w:ascii="宋体" w:hAnsi="宋体"/>
                <w:sz w:val="18"/>
                <w:szCs w:val="18"/>
              </w:rPr>
              <w:t>≤1.2m</w:t>
            </w:r>
            <w:r>
              <w:rPr>
                <w:rFonts w:ascii="宋体" w:hAnsi="宋体"/>
                <w:sz w:val="18"/>
                <w:szCs w:val="18"/>
              </w:rPr>
              <w:t>(</w:t>
            </w:r>
            <w:r>
              <w:rPr>
                <w:rFonts w:hint="eastAsia" w:ascii="宋体" w:hAnsi="宋体"/>
                <w:sz w:val="18"/>
                <w:szCs w:val="18"/>
              </w:rPr>
              <w:t>中小学生</w:t>
            </w:r>
            <w:r>
              <w:rPr>
                <w:rFonts w:ascii="宋体" w:hAnsi="宋体"/>
                <w:sz w:val="18"/>
                <w:szCs w:val="18"/>
              </w:rPr>
              <w:t>)</w:t>
            </w:r>
          </w:p>
          <w:p>
            <w:pPr>
              <w:adjustRightInd w:val="0"/>
              <w:snapToGrid w:val="0"/>
              <w:jc w:val="center"/>
              <w:rPr>
                <w:rFonts w:ascii="宋体" w:hAnsi="宋体"/>
                <w:sz w:val="18"/>
                <w:szCs w:val="18"/>
              </w:rPr>
            </w:pPr>
            <w:r>
              <w:rPr>
                <w:rFonts w:hint="eastAsia" w:ascii="宋体" w:hAnsi="宋体"/>
                <w:sz w:val="18"/>
                <w:szCs w:val="18"/>
              </w:rPr>
              <w:t>HIC&lt;500</w:t>
            </w:r>
          </w:p>
          <w:p>
            <w:pPr>
              <w:adjustRightInd w:val="0"/>
              <w:snapToGrid w:val="0"/>
              <w:jc w:val="center"/>
              <w:rPr>
                <w:rFonts w:ascii="宋体" w:hAnsi="宋体"/>
                <w:b/>
                <w:bCs/>
                <w:color w:val="FF0000"/>
                <w:sz w:val="18"/>
                <w:szCs w:val="18"/>
              </w:rPr>
            </w:pPr>
            <w:r>
              <w:rPr>
                <w:rFonts w:hint="eastAsia" w:ascii="宋体" w:hAnsi="宋体"/>
                <w:b/>
                <w:bCs/>
                <w:color w:val="FF0000"/>
                <w:sz w:val="18"/>
                <w:szCs w:val="18"/>
              </w:rPr>
              <w:t>Nij</w:t>
            </w:r>
            <w:r>
              <w:rPr>
                <w:rFonts w:ascii="宋体" w:hAnsi="宋体"/>
                <w:b/>
                <w:bCs/>
                <w:color w:val="FF0000"/>
                <w:sz w:val="18"/>
                <w:szCs w:val="18"/>
              </w:rPr>
              <w:t>&lt;1.0</w:t>
            </w:r>
          </w:p>
          <w:p>
            <w:pPr>
              <w:adjustRightInd w:val="0"/>
              <w:snapToGrid w:val="0"/>
              <w:jc w:val="center"/>
              <w:rPr>
                <w:rFonts w:ascii="宋体" w:hAnsi="宋体"/>
                <w:sz w:val="18"/>
                <w:szCs w:val="18"/>
              </w:rPr>
            </w:pPr>
            <w:r>
              <w:rPr>
                <w:rFonts w:hint="eastAsia" w:ascii="宋体" w:hAnsi="宋体"/>
                <w:sz w:val="18"/>
                <w:szCs w:val="18"/>
              </w:rPr>
              <w:t>ThAC&lt;</w:t>
            </w:r>
            <w:r>
              <w:rPr>
                <w:rFonts w:ascii="宋体" w:hAnsi="宋体"/>
                <w:sz w:val="18"/>
                <w:szCs w:val="18"/>
              </w:rPr>
              <w:t>30</w:t>
            </w:r>
            <w:r>
              <w:rPr>
                <w:rFonts w:hint="eastAsia" w:ascii="宋体" w:hAnsi="宋体"/>
                <w:sz w:val="18"/>
                <w:szCs w:val="18"/>
              </w:rPr>
              <w:t>g</w:t>
            </w:r>
          </w:p>
          <w:p>
            <w:pPr>
              <w:adjustRightInd w:val="0"/>
              <w:snapToGrid w:val="0"/>
              <w:jc w:val="center"/>
              <w:rPr>
                <w:rFonts w:ascii="宋体" w:hAnsi="宋体"/>
                <w:b/>
                <w:bCs/>
                <w:color w:val="FF0000"/>
                <w:sz w:val="18"/>
                <w:szCs w:val="18"/>
              </w:rPr>
            </w:pPr>
            <w:r>
              <w:rPr>
                <w:rFonts w:hint="eastAsia" w:ascii="宋体" w:hAnsi="宋体"/>
                <w:b/>
                <w:bCs/>
                <w:color w:val="FF0000"/>
                <w:sz w:val="18"/>
                <w:szCs w:val="18"/>
              </w:rPr>
              <w:t>FAC&lt;</w:t>
            </w:r>
            <w:r>
              <w:rPr>
                <w:rFonts w:ascii="宋体" w:hAnsi="宋体"/>
                <w:b/>
                <w:bCs/>
                <w:color w:val="FF0000"/>
                <w:sz w:val="18"/>
                <w:szCs w:val="18"/>
              </w:rPr>
              <w:t>6.8</w:t>
            </w:r>
            <w:r>
              <w:rPr>
                <w:rFonts w:hint="eastAsia" w:ascii="宋体" w:hAnsi="宋体"/>
                <w:b/>
                <w:bCs/>
                <w:color w:val="FF0000"/>
                <w:sz w:val="18"/>
                <w:szCs w:val="18"/>
              </w:rPr>
              <w:t xml:space="preserve"> kN（5</w:t>
            </w:r>
            <w:r>
              <w:rPr>
                <w:rFonts w:hint="eastAsia" w:ascii="宋体" w:hAnsi="宋体"/>
                <w:b/>
                <w:bCs/>
                <w:color w:val="FF0000"/>
                <w:sz w:val="18"/>
                <w:szCs w:val="18"/>
                <w:vertAlign w:val="superscript"/>
              </w:rPr>
              <w:t>th</w:t>
            </w:r>
            <w:r>
              <w:rPr>
                <w:rFonts w:hint="eastAsia" w:ascii="宋体" w:hAnsi="宋体"/>
                <w:b/>
                <w:bCs/>
                <w:color w:val="FF0000"/>
                <w:sz w:val="18"/>
                <w:szCs w:val="18"/>
              </w:rPr>
              <w:t>假人）</w:t>
            </w:r>
          </w:p>
        </w:tc>
        <w:tc>
          <w:tcPr>
            <w:tcW w:w="2024" w:type="dxa"/>
          </w:tcPr>
          <w:p>
            <w:pPr>
              <w:adjustRightInd w:val="0"/>
              <w:snapToGrid w:val="0"/>
              <w:jc w:val="center"/>
              <w:rPr>
                <w:rFonts w:ascii="宋体" w:hAnsi="宋体"/>
                <w:sz w:val="18"/>
                <w:szCs w:val="18"/>
              </w:rPr>
            </w:pPr>
            <w:r>
              <w:rPr>
                <w:rFonts w:ascii="宋体" w:hAnsi="宋体"/>
                <w:sz w:val="18"/>
                <w:szCs w:val="18"/>
              </w:rPr>
              <w:t>静态试验</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ascii="宋体" w:hAnsi="宋体"/>
                <w:sz w:val="18"/>
                <w:szCs w:val="18"/>
              </w:rPr>
              <w:t>靠背位移≤</w:t>
            </w:r>
            <w:r>
              <w:rPr>
                <w:rFonts w:hint="eastAsia" w:ascii="宋体" w:hAnsi="宋体"/>
                <w:sz w:val="18"/>
                <w:szCs w:val="18"/>
              </w:rPr>
              <w:t>356mm</w:t>
            </w:r>
          </w:p>
          <w:p>
            <w:pPr>
              <w:adjustRightInd w:val="0"/>
              <w:snapToGrid w:val="0"/>
              <w:jc w:val="center"/>
              <w:rPr>
                <w:rFonts w:ascii="宋体" w:hAnsi="宋体"/>
                <w:sz w:val="18"/>
                <w:szCs w:val="18"/>
              </w:rPr>
            </w:pPr>
            <w:r>
              <w:rPr>
                <w:rFonts w:ascii="宋体" w:hAnsi="宋体"/>
                <w:sz w:val="18"/>
                <w:szCs w:val="18"/>
              </w:rPr>
              <w:t>不得进入其他座椅</w:t>
            </w:r>
            <w:r>
              <w:rPr>
                <w:rFonts w:hint="eastAsia" w:ascii="宋体" w:hAnsi="宋体"/>
                <w:sz w:val="18"/>
                <w:szCs w:val="18"/>
              </w:rPr>
              <w:t>102mm</w:t>
            </w:r>
            <w:r>
              <w:rPr>
                <w:rFonts w:ascii="宋体" w:hAnsi="宋体"/>
                <w:sz w:val="18"/>
                <w:szCs w:val="18"/>
              </w:rPr>
              <w:t>范围内</w:t>
            </w:r>
          </w:p>
        </w:tc>
        <w:tc>
          <w:tcPr>
            <w:tcW w:w="2058" w:type="dxa"/>
          </w:tcPr>
          <w:p>
            <w:pPr>
              <w:adjustRightInd w:val="0"/>
              <w:snapToGrid w:val="0"/>
              <w:jc w:val="center"/>
              <w:rPr>
                <w:rFonts w:ascii="宋体" w:hAnsi="宋体"/>
                <w:sz w:val="18"/>
                <w:szCs w:val="18"/>
              </w:rPr>
            </w:pPr>
            <w:r>
              <w:rPr>
                <w:rFonts w:ascii="宋体" w:hAnsi="宋体"/>
                <w:sz w:val="18"/>
                <w:szCs w:val="18"/>
              </w:rPr>
              <w:t>动态试验</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ascii="宋体" w:hAnsi="宋体"/>
                <w:sz w:val="18"/>
                <w:szCs w:val="18"/>
              </w:rPr>
              <w:t>移动量≤</w:t>
            </w:r>
            <w:r>
              <w:rPr>
                <w:rFonts w:hint="eastAsia" w:ascii="宋体" w:hAnsi="宋体"/>
                <w:sz w:val="18"/>
                <w:szCs w:val="18"/>
              </w:rPr>
              <w:t>1600mm</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hint="eastAsia" w:ascii="宋体" w:hAnsi="宋体"/>
                <w:sz w:val="18"/>
                <w:szCs w:val="18"/>
              </w:rPr>
              <w:t>HIC&lt;500</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hint="eastAsia" w:ascii="宋体" w:hAnsi="宋体"/>
                <w:sz w:val="18"/>
                <w:szCs w:val="18"/>
              </w:rPr>
              <w:t>ThAC&lt;30g</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hint="eastAsia" w:ascii="宋体" w:hAnsi="宋体"/>
                <w:sz w:val="18"/>
                <w:szCs w:val="18"/>
              </w:rPr>
              <w:t>FAC&lt;10kN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24" w:type="dxa"/>
            <w:vAlign w:val="center"/>
          </w:tcPr>
          <w:p>
            <w:pPr>
              <w:adjustRightInd w:val="0"/>
              <w:snapToGrid w:val="0"/>
              <w:jc w:val="center"/>
              <w:rPr>
                <w:rFonts w:ascii="宋体" w:hAnsi="宋体"/>
                <w:sz w:val="18"/>
                <w:szCs w:val="18"/>
              </w:rPr>
            </w:pPr>
            <w:r>
              <w:rPr>
                <w:rFonts w:hint="eastAsia" w:ascii="宋体" w:hAnsi="宋体"/>
                <w:sz w:val="18"/>
                <w:szCs w:val="18"/>
              </w:rPr>
              <w:t>后碰性能</w:t>
            </w:r>
          </w:p>
        </w:tc>
        <w:tc>
          <w:tcPr>
            <w:tcW w:w="3106" w:type="dxa"/>
          </w:tcPr>
          <w:p>
            <w:pPr>
              <w:adjustRightInd w:val="0"/>
              <w:snapToGrid w:val="0"/>
              <w:jc w:val="center"/>
              <w:rPr>
                <w:rFonts w:ascii="宋体" w:hAnsi="宋体"/>
                <w:b/>
                <w:bCs/>
                <w:color w:val="FF0000"/>
                <w:sz w:val="18"/>
                <w:szCs w:val="18"/>
              </w:rPr>
            </w:pPr>
            <w:r>
              <w:rPr>
                <w:rFonts w:hint="eastAsia" w:ascii="宋体" w:hAnsi="宋体"/>
                <w:b/>
                <w:bCs/>
                <w:color w:val="FF0000"/>
                <w:sz w:val="18"/>
                <w:szCs w:val="18"/>
              </w:rPr>
              <w:t>动态试验</w:t>
            </w:r>
          </w:p>
          <w:p>
            <w:pPr>
              <w:adjustRightInd w:val="0"/>
              <w:snapToGrid w:val="0"/>
              <w:jc w:val="center"/>
              <w:rPr>
                <w:rFonts w:ascii="宋体" w:hAnsi="宋体"/>
                <w:b/>
                <w:bCs/>
                <w:color w:val="FF0000"/>
                <w:sz w:val="18"/>
                <w:szCs w:val="18"/>
              </w:rPr>
            </w:pPr>
          </w:p>
          <w:p>
            <w:pPr>
              <w:adjustRightInd w:val="0"/>
              <w:snapToGrid w:val="0"/>
              <w:jc w:val="center"/>
              <w:rPr>
                <w:rFonts w:ascii="宋体" w:hAnsi="宋体"/>
                <w:b/>
                <w:bCs/>
                <w:color w:val="FF0000"/>
                <w:sz w:val="18"/>
                <w:szCs w:val="18"/>
              </w:rPr>
            </w:pPr>
            <w:r>
              <w:rPr>
                <w:rFonts w:hint="eastAsia" w:ascii="宋体" w:hAnsi="宋体"/>
                <w:b/>
                <w:bCs/>
                <w:color w:val="FF0000"/>
                <w:sz w:val="18"/>
                <w:szCs w:val="18"/>
              </w:rPr>
              <w:t>HIC&lt;500</w:t>
            </w:r>
          </w:p>
          <w:p>
            <w:pPr>
              <w:adjustRightInd w:val="0"/>
              <w:snapToGrid w:val="0"/>
              <w:jc w:val="center"/>
              <w:rPr>
                <w:rFonts w:ascii="宋体" w:hAnsi="宋体"/>
                <w:b/>
                <w:bCs/>
                <w:color w:val="FF0000"/>
                <w:sz w:val="18"/>
                <w:szCs w:val="18"/>
              </w:rPr>
            </w:pPr>
            <w:r>
              <w:rPr>
                <w:rFonts w:hint="eastAsia" w:ascii="宋体" w:hAnsi="宋体"/>
                <w:b/>
                <w:bCs/>
                <w:color w:val="FF0000"/>
                <w:sz w:val="18"/>
                <w:szCs w:val="18"/>
              </w:rPr>
              <w:t>Nij</w:t>
            </w:r>
            <w:r>
              <w:rPr>
                <w:rFonts w:ascii="宋体" w:hAnsi="宋体"/>
                <w:b/>
                <w:bCs/>
                <w:color w:val="FF0000"/>
                <w:sz w:val="18"/>
                <w:szCs w:val="18"/>
              </w:rPr>
              <w:t>&lt;1.0</w:t>
            </w:r>
          </w:p>
          <w:p>
            <w:pPr>
              <w:adjustRightInd w:val="0"/>
              <w:snapToGrid w:val="0"/>
              <w:jc w:val="center"/>
              <w:rPr>
                <w:rFonts w:ascii="宋体" w:hAnsi="宋体"/>
                <w:sz w:val="18"/>
                <w:szCs w:val="18"/>
              </w:rPr>
            </w:pPr>
            <w:r>
              <w:rPr>
                <w:rFonts w:hint="eastAsia" w:ascii="宋体" w:hAnsi="宋体"/>
                <w:b/>
                <w:bCs/>
                <w:color w:val="FF0000"/>
                <w:sz w:val="18"/>
                <w:szCs w:val="18"/>
              </w:rPr>
              <w:t>ThAC&lt;</w:t>
            </w:r>
            <w:r>
              <w:rPr>
                <w:rFonts w:ascii="宋体" w:hAnsi="宋体"/>
                <w:b/>
                <w:bCs/>
                <w:color w:val="FF0000"/>
                <w:sz w:val="18"/>
                <w:szCs w:val="18"/>
              </w:rPr>
              <w:t>30g</w:t>
            </w:r>
          </w:p>
        </w:tc>
        <w:tc>
          <w:tcPr>
            <w:tcW w:w="2024" w:type="dxa"/>
          </w:tcPr>
          <w:p>
            <w:pPr>
              <w:adjustRightInd w:val="0"/>
              <w:snapToGrid w:val="0"/>
              <w:jc w:val="center"/>
              <w:rPr>
                <w:rFonts w:ascii="宋体" w:hAnsi="宋体"/>
                <w:sz w:val="18"/>
                <w:szCs w:val="18"/>
              </w:rPr>
            </w:pPr>
            <w:r>
              <w:rPr>
                <w:rFonts w:ascii="宋体" w:hAnsi="宋体"/>
                <w:sz w:val="18"/>
                <w:szCs w:val="18"/>
              </w:rPr>
              <w:t>静态试验</w:t>
            </w:r>
          </w:p>
          <w:p>
            <w:pPr>
              <w:adjustRightInd w:val="0"/>
              <w:snapToGrid w:val="0"/>
              <w:jc w:val="center"/>
              <w:rPr>
                <w:rFonts w:ascii="宋体" w:hAnsi="宋体"/>
                <w:sz w:val="18"/>
                <w:szCs w:val="18"/>
              </w:rPr>
            </w:pPr>
          </w:p>
          <w:p>
            <w:pPr>
              <w:adjustRightInd w:val="0"/>
              <w:snapToGrid w:val="0"/>
              <w:jc w:val="center"/>
              <w:rPr>
                <w:rFonts w:ascii="宋体" w:hAnsi="宋体"/>
                <w:sz w:val="18"/>
                <w:szCs w:val="18"/>
              </w:rPr>
            </w:pPr>
            <w:r>
              <w:rPr>
                <w:rFonts w:ascii="宋体" w:hAnsi="宋体"/>
                <w:sz w:val="18"/>
                <w:szCs w:val="18"/>
              </w:rPr>
              <w:t>靠背位移≤</w:t>
            </w:r>
            <w:r>
              <w:rPr>
                <w:rFonts w:hint="eastAsia" w:ascii="宋体" w:hAnsi="宋体"/>
                <w:sz w:val="18"/>
                <w:szCs w:val="18"/>
              </w:rPr>
              <w:t>256mm</w:t>
            </w:r>
          </w:p>
          <w:p>
            <w:pPr>
              <w:adjustRightInd w:val="0"/>
              <w:snapToGrid w:val="0"/>
              <w:jc w:val="center"/>
              <w:rPr>
                <w:rFonts w:ascii="宋体" w:hAnsi="宋体"/>
                <w:sz w:val="18"/>
                <w:szCs w:val="18"/>
              </w:rPr>
            </w:pPr>
            <w:r>
              <w:rPr>
                <w:rFonts w:ascii="宋体" w:hAnsi="宋体"/>
                <w:sz w:val="18"/>
                <w:szCs w:val="18"/>
              </w:rPr>
              <w:t>不得进入其他座椅</w:t>
            </w:r>
            <w:r>
              <w:rPr>
                <w:rFonts w:hint="eastAsia" w:ascii="宋体" w:hAnsi="宋体"/>
                <w:sz w:val="18"/>
                <w:szCs w:val="18"/>
              </w:rPr>
              <w:t>102mm</w:t>
            </w:r>
            <w:r>
              <w:rPr>
                <w:rFonts w:ascii="宋体" w:hAnsi="宋体"/>
                <w:sz w:val="18"/>
                <w:szCs w:val="18"/>
              </w:rPr>
              <w:t>范围内</w:t>
            </w:r>
          </w:p>
        </w:tc>
        <w:tc>
          <w:tcPr>
            <w:tcW w:w="2058" w:type="dxa"/>
            <w:vAlign w:val="center"/>
          </w:tcPr>
          <w:p>
            <w:pPr>
              <w:adjustRightInd w:val="0"/>
              <w:snapToGrid w:val="0"/>
              <w:jc w:val="center"/>
              <w:rPr>
                <w:rFonts w:ascii="宋体" w:hAnsi="宋体"/>
                <w:sz w:val="18"/>
                <w:szCs w:val="18"/>
              </w:rPr>
            </w:pPr>
            <w:r>
              <w:rPr>
                <w:rFonts w:ascii="宋体" w:hAnsi="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124" w:type="dxa"/>
            <w:vAlign w:val="center"/>
          </w:tcPr>
          <w:p>
            <w:pPr>
              <w:adjustRightInd w:val="0"/>
              <w:snapToGrid w:val="0"/>
              <w:jc w:val="center"/>
              <w:rPr>
                <w:rFonts w:ascii="宋体" w:hAnsi="宋体"/>
                <w:sz w:val="18"/>
                <w:szCs w:val="18"/>
              </w:rPr>
            </w:pPr>
            <w:r>
              <w:rPr>
                <w:rFonts w:hint="eastAsia" w:ascii="宋体" w:hAnsi="宋体"/>
                <w:sz w:val="18"/>
                <w:szCs w:val="18"/>
              </w:rPr>
              <w:t>试验假人</w:t>
            </w:r>
          </w:p>
        </w:tc>
        <w:tc>
          <w:tcPr>
            <w:tcW w:w="3106" w:type="dxa"/>
            <w:vAlign w:val="center"/>
          </w:tcPr>
          <w:p>
            <w:pPr>
              <w:adjustRightInd w:val="0"/>
              <w:snapToGrid w:val="0"/>
              <w:jc w:val="center"/>
              <w:rPr>
                <w:rFonts w:ascii="宋体" w:hAnsi="宋体"/>
                <w:sz w:val="18"/>
                <w:szCs w:val="18"/>
              </w:rPr>
            </w:pPr>
            <w:r>
              <w:rPr>
                <w:rFonts w:hint="eastAsia" w:ascii="宋体" w:hAnsi="宋体"/>
                <w:b/>
                <w:bCs/>
                <w:color w:val="FF0000"/>
                <w:sz w:val="18"/>
                <w:szCs w:val="18"/>
              </w:rPr>
              <w:t>Q</w:t>
            </w:r>
            <w:r>
              <w:rPr>
                <w:rFonts w:ascii="宋体" w:hAnsi="宋体"/>
                <w:b/>
                <w:bCs/>
                <w:color w:val="FF0000"/>
                <w:sz w:val="18"/>
                <w:szCs w:val="18"/>
              </w:rPr>
              <w:t>系列</w:t>
            </w:r>
            <w:r>
              <w:rPr>
                <w:rFonts w:hint="eastAsia" w:ascii="宋体" w:hAnsi="宋体"/>
                <w:b/>
                <w:bCs/>
                <w:color w:val="FF0000"/>
                <w:sz w:val="18"/>
                <w:szCs w:val="18"/>
              </w:rPr>
              <w:t>6岁</w:t>
            </w:r>
            <w:r>
              <w:rPr>
                <w:rFonts w:ascii="宋体" w:hAnsi="宋体"/>
                <w:b/>
                <w:bCs/>
                <w:color w:val="FF0000"/>
                <w:sz w:val="18"/>
                <w:szCs w:val="18"/>
              </w:rPr>
              <w:t>儿童假人</w:t>
            </w:r>
            <w:r>
              <w:rPr>
                <w:rFonts w:ascii="宋体" w:hAnsi="宋体"/>
                <w:sz w:val="18"/>
                <w:szCs w:val="18"/>
              </w:rPr>
              <w:t>和</w:t>
            </w:r>
          </w:p>
          <w:p>
            <w:pPr>
              <w:adjustRightInd w:val="0"/>
              <w:snapToGrid w:val="0"/>
              <w:jc w:val="center"/>
              <w:rPr>
                <w:rFonts w:ascii="宋体" w:hAnsi="宋体"/>
                <w:sz w:val="18"/>
                <w:szCs w:val="18"/>
              </w:rPr>
            </w:pPr>
            <w:r>
              <w:rPr>
                <w:rFonts w:hint="eastAsia" w:ascii="宋体" w:hAnsi="宋体"/>
                <w:sz w:val="18"/>
                <w:szCs w:val="18"/>
              </w:rPr>
              <w:t>5</w:t>
            </w:r>
            <w:r>
              <w:rPr>
                <w:rFonts w:ascii="宋体" w:hAnsi="宋体"/>
                <w:sz w:val="18"/>
                <w:szCs w:val="18"/>
              </w:rPr>
              <w:t>百分位</w:t>
            </w:r>
            <w:r>
              <w:rPr>
                <w:rFonts w:hint="eastAsia" w:ascii="宋体" w:hAnsi="宋体"/>
                <w:sz w:val="18"/>
                <w:szCs w:val="18"/>
              </w:rPr>
              <w:t>成年</w:t>
            </w:r>
            <w:r>
              <w:rPr>
                <w:rFonts w:ascii="宋体" w:hAnsi="宋体"/>
                <w:sz w:val="18"/>
                <w:szCs w:val="18"/>
              </w:rPr>
              <w:t>假人</w:t>
            </w:r>
          </w:p>
        </w:tc>
        <w:tc>
          <w:tcPr>
            <w:tcW w:w="2024" w:type="dxa"/>
            <w:vAlign w:val="center"/>
          </w:tcPr>
          <w:p>
            <w:pPr>
              <w:adjustRightInd w:val="0"/>
              <w:snapToGrid w:val="0"/>
              <w:jc w:val="center"/>
              <w:rPr>
                <w:rFonts w:ascii="宋体" w:hAnsi="宋体"/>
                <w:sz w:val="18"/>
                <w:szCs w:val="18"/>
              </w:rPr>
            </w:pPr>
            <w:r>
              <w:rPr>
                <w:rFonts w:hint="eastAsia" w:ascii="宋体" w:hAnsi="宋体"/>
                <w:sz w:val="18"/>
                <w:szCs w:val="18"/>
              </w:rPr>
              <w:t>无</w:t>
            </w:r>
          </w:p>
        </w:tc>
        <w:tc>
          <w:tcPr>
            <w:tcW w:w="2058" w:type="dxa"/>
            <w:vAlign w:val="center"/>
          </w:tcPr>
          <w:p>
            <w:pPr>
              <w:adjustRightInd w:val="0"/>
              <w:snapToGrid w:val="0"/>
              <w:jc w:val="center"/>
              <w:rPr>
                <w:rFonts w:ascii="宋体" w:hAnsi="宋体"/>
                <w:sz w:val="18"/>
                <w:szCs w:val="18"/>
              </w:rPr>
            </w:pPr>
            <w:r>
              <w:rPr>
                <w:rFonts w:hint="eastAsia" w:ascii="宋体" w:hAnsi="宋体"/>
                <w:sz w:val="18"/>
                <w:szCs w:val="18"/>
              </w:rPr>
              <w:t>50</w:t>
            </w:r>
            <w:r>
              <w:rPr>
                <w:rFonts w:ascii="宋体" w:hAnsi="宋体"/>
                <w:sz w:val="18"/>
                <w:szCs w:val="18"/>
              </w:rPr>
              <w:t>百分位</w:t>
            </w:r>
            <w:r>
              <w:rPr>
                <w:rFonts w:hint="eastAsia" w:ascii="宋体" w:hAnsi="宋体"/>
                <w:sz w:val="18"/>
                <w:szCs w:val="18"/>
              </w:rPr>
              <w:t>成年</w:t>
            </w:r>
            <w:r>
              <w:rPr>
                <w:rFonts w:ascii="宋体" w:hAnsi="宋体"/>
                <w:sz w:val="18"/>
                <w:szCs w:val="18"/>
              </w:rPr>
              <w:t>假人</w:t>
            </w:r>
          </w:p>
        </w:tc>
      </w:tr>
    </w:tbl>
    <w:p>
      <w:pPr>
        <w:adjustRightInd w:val="0"/>
        <w:snapToGrid w:val="0"/>
        <w:spacing w:line="300" w:lineRule="auto"/>
        <w:ind w:firstLine="480" w:firstLineChars="200"/>
        <w:rPr>
          <w:rFonts w:ascii="宋体" w:hAnsi="宋体"/>
          <w:sz w:val="24"/>
        </w:rPr>
      </w:pP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3" w:name="_Toc64898479"/>
      <w:r>
        <w:rPr>
          <w:rFonts w:hint="eastAsia" w:eastAsia="黑体"/>
          <w:bCs/>
          <w:color w:val="000000"/>
          <w:kern w:val="0"/>
          <w:sz w:val="24"/>
          <w:lang w:val="en-US" w:eastAsia="zh-CN"/>
        </w:rPr>
        <w:t>五、重大分歧意见的处理过程、处理意见及其依据</w:t>
      </w:r>
      <w:bookmarkEnd w:id="3"/>
    </w:p>
    <w:p>
      <w:pPr>
        <w:spacing w:line="400" w:lineRule="exact"/>
        <w:ind w:firstLine="420" w:firstLineChars="200"/>
        <w:rPr>
          <w:rFonts w:hint="eastAsia" w:ascii="宋体" w:hAnsi="宋体"/>
          <w:szCs w:val="21"/>
        </w:rPr>
      </w:pPr>
      <w:r>
        <w:rPr>
          <w:rFonts w:hint="eastAsia" w:ascii="宋体" w:hAnsi="宋体"/>
          <w:szCs w:val="21"/>
        </w:rPr>
        <w:t>本标准修订过程中无重大分歧意见。</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4" w:name="_Toc64898480"/>
      <w:r>
        <w:rPr>
          <w:rFonts w:hint="eastAsia" w:eastAsia="黑体"/>
          <w:bCs/>
          <w:color w:val="000000"/>
          <w:kern w:val="0"/>
          <w:sz w:val="24"/>
          <w:lang w:val="en-US" w:eastAsia="zh-CN"/>
        </w:rPr>
        <w:t>六、对强制性国家标准自发布日期至实施日期之间的过渡期的建议及理由</w:t>
      </w:r>
      <w:bookmarkEnd w:id="4"/>
    </w:p>
    <w:p>
      <w:pPr>
        <w:spacing w:line="400" w:lineRule="exact"/>
        <w:ind w:firstLine="420" w:firstLineChars="200"/>
        <w:rPr>
          <w:rFonts w:hint="eastAsia" w:ascii="宋体" w:hAnsi="宋体"/>
          <w:szCs w:val="21"/>
        </w:rPr>
      </w:pPr>
      <w:r>
        <w:rPr>
          <w:rFonts w:hint="eastAsia" w:ascii="宋体" w:hAnsi="宋体"/>
          <w:szCs w:val="21"/>
        </w:rPr>
        <w:t>通过行业调研及验证试验的结果可知，标准技术内容充分考虑了我国校车座椅产品的技术水平现状、检测机构开展相关试验的检测能力，标准实施的基础条件已具备。虽然目前国内校车座椅对于乘员颈部伤害保护欠佳，但是技术优化的难度不高，能够在较短的时间内达到。对于新申请型式批准的车型自本文件实施之日起开始执行。对于已获得型式批准的车型自本文件实施之日起第13个月开始执行。</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r>
        <w:rPr>
          <w:rFonts w:hint="eastAsia" w:eastAsia="黑体"/>
          <w:bCs/>
          <w:color w:val="000000"/>
          <w:kern w:val="0"/>
          <w:sz w:val="24"/>
          <w:lang w:val="en-US" w:eastAsia="zh-CN"/>
        </w:rPr>
        <w:t>七、与实施强制性国家标准有关的政策措施</w:t>
      </w:r>
    </w:p>
    <w:p>
      <w:pPr>
        <w:spacing w:line="400" w:lineRule="exact"/>
        <w:ind w:firstLine="420" w:firstLineChars="200"/>
        <w:rPr>
          <w:rFonts w:hint="eastAsia" w:ascii="宋体" w:hAnsi="宋体"/>
          <w:szCs w:val="21"/>
        </w:rPr>
      </w:pPr>
      <w:r>
        <w:rPr>
          <w:rFonts w:hint="eastAsia" w:ascii="宋体" w:hAnsi="宋体"/>
          <w:szCs w:val="21"/>
        </w:rPr>
        <w:t>本标准的实施监督管理部门是中华人民共和国工业和信息化部。本标准依据的法律法规及配套措施如下：</w:t>
      </w:r>
    </w:p>
    <w:p>
      <w:pPr>
        <w:spacing w:line="400" w:lineRule="exact"/>
        <w:ind w:firstLine="420" w:firstLineChars="200"/>
        <w:rPr>
          <w:rFonts w:hint="eastAsia" w:ascii="宋体" w:hAnsi="宋体"/>
          <w:szCs w:val="21"/>
        </w:rPr>
      </w:pPr>
      <w:r>
        <w:rPr>
          <w:rFonts w:hint="eastAsia" w:ascii="宋体" w:hAnsi="宋体"/>
          <w:szCs w:val="21"/>
        </w:rPr>
        <w:t>1）《中华人民共和国标准化法》第二章第十条的规定，对保障人身健康和生命财产安全、国家安全、生态环境安全以及满足经济社会管理基本需要的技术要求，应当制定强制性国家标准。</w:t>
      </w:r>
    </w:p>
    <w:p>
      <w:pPr>
        <w:spacing w:line="400" w:lineRule="exact"/>
        <w:ind w:firstLine="420" w:firstLineChars="200"/>
        <w:rPr>
          <w:rFonts w:hint="eastAsia" w:ascii="宋体" w:hAnsi="宋体"/>
          <w:szCs w:val="21"/>
        </w:rPr>
      </w:pPr>
      <w:r>
        <w:rPr>
          <w:rFonts w:hint="eastAsia" w:ascii="宋体" w:hAnsi="宋体"/>
          <w:szCs w:val="21"/>
        </w:rPr>
        <w:t>2）“工业和信息化部关于调整《道路机动车辆生产企业及产品准入许可》事项审批流程及技术规范的通知”（工信部装〔2015〕492号）的附件2“汽车产品同一型式判定技术条件_汽车产品同一型号判定技术条件（2015修订版）”中将GB 24406-2012《专用校车学生座椅系统及其车辆固定件的强度》作为《车辆生产企业及产品公告》管理所要求的强制性标准，是汽车产品准入的必要条件。</w:t>
      </w:r>
    </w:p>
    <w:p>
      <w:pPr>
        <w:spacing w:line="400" w:lineRule="exact"/>
        <w:ind w:firstLine="420" w:firstLineChars="200"/>
        <w:rPr>
          <w:rFonts w:hint="eastAsia" w:ascii="宋体" w:hAnsi="宋体"/>
          <w:szCs w:val="21"/>
        </w:rPr>
      </w:pPr>
      <w:r>
        <w:rPr>
          <w:rFonts w:hint="eastAsia" w:ascii="宋体" w:hAnsi="宋体"/>
          <w:szCs w:val="21"/>
        </w:rPr>
        <w:t>3）《车辆生产企业及产品生产一致性监督管理办法》（工产业〔2010〕第109号）附件3中规定，《公告》规定的强制性标准项目的检验结果均符合要求时，判定为性能符合要求。即在汽车产品在一致性监督中，也应满足GB 24406的要求。</w:t>
      </w:r>
    </w:p>
    <w:p>
      <w:pPr>
        <w:spacing w:line="400" w:lineRule="exact"/>
        <w:ind w:firstLine="420" w:firstLineChars="200"/>
        <w:rPr>
          <w:rFonts w:hint="eastAsia" w:ascii="宋体" w:hAnsi="宋体"/>
          <w:szCs w:val="21"/>
        </w:rPr>
      </w:pPr>
      <w:r>
        <w:rPr>
          <w:rFonts w:hint="eastAsia" w:ascii="宋体" w:hAnsi="宋体"/>
          <w:szCs w:val="21"/>
        </w:rPr>
        <w:t>4）2014年8月21日，国家认监委根据《中华人民共和国认证认可条例》、《强制性产品认证管理规定》，发布了《强制性产品认证实施规则 汽车》（编号：CNCA-C11-01：2014）。该实施规则自2015年1月1日起实施。其中明确专用学生校车使用的座椅及其固定件应符合GB 24406《专用校车学生座椅系统及其车辆固定件的强度》要求。</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5" w:name="_Toc64898482"/>
      <w:r>
        <w:rPr>
          <w:rFonts w:hint="eastAsia" w:eastAsia="黑体"/>
          <w:bCs/>
          <w:color w:val="000000"/>
          <w:kern w:val="0"/>
          <w:sz w:val="24"/>
          <w:lang w:val="en-US" w:eastAsia="zh-CN"/>
        </w:rPr>
        <w:t>八、是否需要对外通报的建议及理由</w:t>
      </w:r>
      <w:bookmarkEnd w:id="5"/>
    </w:p>
    <w:p>
      <w:pPr>
        <w:spacing w:line="400" w:lineRule="exact"/>
        <w:ind w:firstLine="420" w:firstLineChars="200"/>
        <w:rPr>
          <w:rFonts w:hint="eastAsia" w:ascii="宋体" w:hAnsi="宋体"/>
          <w:szCs w:val="21"/>
        </w:rPr>
      </w:pPr>
      <w:r>
        <w:rPr>
          <w:rFonts w:hint="eastAsia" w:ascii="宋体" w:hAnsi="宋体"/>
          <w:szCs w:val="21"/>
        </w:rPr>
        <w:t>本文件涉及校车乘员的安全，为强制性国家标准，建议对外通报。</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6" w:name="_Toc64898483"/>
      <w:r>
        <w:rPr>
          <w:rFonts w:hint="eastAsia" w:eastAsia="黑体"/>
          <w:bCs/>
          <w:color w:val="000000"/>
          <w:kern w:val="0"/>
          <w:sz w:val="24"/>
          <w:lang w:val="en-US" w:eastAsia="zh-CN"/>
        </w:rPr>
        <w:t>九、废止现行有关标准的建议</w:t>
      </w:r>
      <w:bookmarkEnd w:id="6"/>
    </w:p>
    <w:p>
      <w:pPr>
        <w:spacing w:line="400" w:lineRule="exact"/>
        <w:ind w:firstLine="420" w:firstLineChars="200"/>
        <w:rPr>
          <w:rFonts w:hint="eastAsia" w:ascii="宋体" w:hAnsi="宋体"/>
          <w:szCs w:val="21"/>
        </w:rPr>
      </w:pPr>
      <w:r>
        <w:rPr>
          <w:rFonts w:hint="eastAsia" w:ascii="宋体" w:hAnsi="宋体"/>
          <w:szCs w:val="21"/>
        </w:rPr>
        <w:t>本文件修订完成并发布实施后，将替代现行的GB 24406-2012。</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7" w:name="_Toc64898484"/>
      <w:r>
        <w:rPr>
          <w:rFonts w:hint="eastAsia" w:eastAsia="黑体"/>
          <w:bCs/>
          <w:color w:val="000000"/>
          <w:kern w:val="0"/>
          <w:sz w:val="24"/>
          <w:lang w:val="en-US" w:eastAsia="zh-CN"/>
        </w:rPr>
        <w:t>十、涉及专利的有关说明</w:t>
      </w:r>
      <w:bookmarkEnd w:id="7"/>
    </w:p>
    <w:p>
      <w:pPr>
        <w:spacing w:line="400" w:lineRule="exact"/>
        <w:ind w:firstLine="420" w:firstLineChars="200"/>
        <w:rPr>
          <w:rFonts w:hint="eastAsia" w:ascii="宋体" w:hAnsi="宋体"/>
          <w:szCs w:val="21"/>
        </w:rPr>
      </w:pPr>
      <w:r>
        <w:rPr>
          <w:rFonts w:hint="eastAsia" w:ascii="宋体" w:hAnsi="宋体"/>
          <w:szCs w:val="21"/>
        </w:rPr>
        <w:t>本文件的主要技术内容尚未发现涉及专利。</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8" w:name="_Toc64898485"/>
      <w:r>
        <w:rPr>
          <w:rFonts w:hint="eastAsia" w:eastAsia="黑体"/>
          <w:bCs/>
          <w:color w:val="000000"/>
          <w:kern w:val="0"/>
          <w:sz w:val="24"/>
          <w:lang w:val="en-US" w:eastAsia="zh-CN"/>
        </w:rPr>
        <w:t>十一、强制性国家标准所涉及的产品、过程或者服务目录</w:t>
      </w:r>
      <w:bookmarkEnd w:id="8"/>
    </w:p>
    <w:p>
      <w:pPr>
        <w:spacing w:line="400" w:lineRule="exact"/>
        <w:ind w:firstLine="420" w:firstLineChars="200"/>
        <w:rPr>
          <w:rFonts w:hint="eastAsia" w:ascii="宋体" w:hAnsi="宋体"/>
          <w:szCs w:val="21"/>
        </w:rPr>
      </w:pPr>
      <w:r>
        <w:rPr>
          <w:rFonts w:hint="eastAsia" w:ascii="宋体" w:hAnsi="宋体"/>
          <w:szCs w:val="21"/>
        </w:rPr>
        <w:t>本文件适用于专用校车上的学生座椅以及用于安装该座椅的车辆固定件，也适用于专用校车上安装于学生座椅前方的约束隔板。</w:t>
      </w:r>
    </w:p>
    <w:p>
      <w:pPr>
        <w:autoSpaceDE w:val="0"/>
        <w:autoSpaceDN w:val="0"/>
        <w:adjustRightInd w:val="0"/>
        <w:spacing w:line="400" w:lineRule="exact"/>
        <w:ind w:firstLine="480" w:firstLineChars="200"/>
        <w:jc w:val="left"/>
        <w:outlineLvl w:val="0"/>
        <w:rPr>
          <w:rFonts w:hint="eastAsia" w:eastAsia="黑体"/>
          <w:bCs/>
          <w:color w:val="000000"/>
          <w:kern w:val="0"/>
          <w:sz w:val="24"/>
          <w:lang w:val="en-US" w:eastAsia="zh-CN"/>
        </w:rPr>
      </w:pPr>
      <w:bookmarkStart w:id="9" w:name="_Toc64898486"/>
      <w:r>
        <w:rPr>
          <w:rFonts w:hint="eastAsia" w:eastAsia="黑体"/>
          <w:bCs/>
          <w:color w:val="000000"/>
          <w:kern w:val="0"/>
          <w:sz w:val="24"/>
          <w:lang w:val="en-US" w:eastAsia="zh-CN"/>
        </w:rPr>
        <w:t>十二、其他应当予以说明的事项</w:t>
      </w:r>
      <w:bookmarkEnd w:id="9"/>
    </w:p>
    <w:p>
      <w:pPr>
        <w:spacing w:line="400" w:lineRule="exact"/>
        <w:ind w:firstLine="420" w:firstLineChars="200"/>
        <w:rPr>
          <w:rFonts w:hint="eastAsia" w:ascii="宋体" w:hAnsi="宋体"/>
          <w:szCs w:val="21"/>
        </w:rPr>
      </w:pPr>
      <w:r>
        <w:rPr>
          <w:rFonts w:hint="eastAsia" w:ascii="宋体" w:hAnsi="宋体"/>
          <w:szCs w:val="21"/>
        </w:rPr>
        <w:t>无。</w:t>
      </w:r>
      <w:bookmarkStart w:id="10" w:name="_GoBack"/>
      <w:bookmarkEnd w:id="10"/>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utoSpaceDE w:val="0"/>
      <w:autoSpaceDN w:val="0"/>
      <w:adjustRightInd w:val="0"/>
      <w:spacing w:line="400" w:lineRule="exact"/>
      <w:ind w:firstLine="0" w:firstLineChars="0"/>
      <w:jc w:val="center"/>
      <w:outlineLvl w:val="0"/>
    </w:pPr>
    <w:r>
      <w:rPr>
        <w:rFonts w:hint="default" w:ascii="Times New Roman" w:hAnsi="Times New Roman" w:eastAsia="宋体" w:cs="Times New Roman"/>
        <w:color w:val="000000"/>
        <w:kern w:val="0"/>
        <w:sz w:val="18"/>
        <w:szCs w:val="18"/>
      </w:rPr>
      <w:t>《专用校车学生座椅系统及其车辆固定件的强度》</w:t>
    </w:r>
    <w:r>
      <w:rPr>
        <w:rFonts w:hint="default" w:ascii="Times New Roman" w:hAnsi="Times New Roman" w:eastAsia="宋体" w:cs="Times New Roman"/>
        <w:color w:val="000000"/>
        <w:kern w:val="0"/>
        <w:sz w:val="18"/>
        <w:szCs w:val="18"/>
        <w:lang w:eastAsia="zh-CN"/>
      </w:rPr>
      <w:t>（</w:t>
    </w:r>
    <w:r>
      <w:rPr>
        <w:rFonts w:hint="default" w:ascii="Times New Roman" w:hAnsi="Times New Roman" w:eastAsia="宋体" w:cs="Times New Roman"/>
        <w:color w:val="000000"/>
        <w:kern w:val="0"/>
        <w:sz w:val="18"/>
        <w:szCs w:val="18"/>
      </w:rPr>
      <w:t>征求意见稿</w:t>
    </w:r>
    <w:r>
      <w:rPr>
        <w:rFonts w:hint="default" w:ascii="Times New Roman" w:hAnsi="Times New Roman" w:eastAsia="宋体" w:cs="Times New Roman"/>
        <w:color w:val="000000"/>
        <w:kern w:val="0"/>
        <w:sz w:val="18"/>
        <w:szCs w:val="18"/>
        <w:lang w:eastAsia="zh-CN"/>
      </w:rPr>
      <w:t>）</w:t>
    </w:r>
    <w:r>
      <w:rPr>
        <w:rFonts w:hint="default" w:ascii="Times New Roman" w:hAnsi="Times New Roman" w:eastAsia="宋体" w:cs="Times New Roman"/>
        <w:color w:val="000000"/>
        <w:kern w:val="0"/>
        <w:sz w:val="18"/>
        <w:szCs w:val="18"/>
      </w:rPr>
      <w:t>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A8AEB"/>
    <w:multiLevelType w:val="multilevel"/>
    <w:tmpl w:val="24BA8AEB"/>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1">
    <w:nsid w:val="2C5917C3"/>
    <w:multiLevelType w:val="multilevel"/>
    <w:tmpl w:val="2C5917C3"/>
    <w:lvl w:ilvl="0" w:tentative="0">
      <w:start w:val="1"/>
      <w:numFmt w:val="none"/>
      <w:pStyle w:val="38"/>
      <w:suff w:val="nothing"/>
      <w:lvlText w:val="%1——"/>
      <w:lvlJc w:val="left"/>
      <w:pPr>
        <w:ind w:left="833" w:hanging="408"/>
      </w:pPr>
      <w:rPr>
        <w:rFonts w:hint="eastAsia"/>
      </w:rPr>
    </w:lvl>
    <w:lvl w:ilvl="1" w:tentative="0">
      <w:start w:val="1"/>
      <w:numFmt w:val="bullet"/>
      <w:pStyle w:val="35"/>
      <w:lvlText w:val=""/>
      <w:lvlJc w:val="left"/>
      <w:pPr>
        <w:tabs>
          <w:tab w:val="left" w:pos="760"/>
        </w:tabs>
        <w:ind w:left="1264" w:hanging="413"/>
      </w:pPr>
      <w:rPr>
        <w:rFonts w:hint="default" w:ascii="Symbol" w:hAnsi="Symbol"/>
        <w:color w:val="auto"/>
      </w:rPr>
    </w:lvl>
    <w:lvl w:ilvl="2" w:tentative="0">
      <w:start w:val="1"/>
      <w:numFmt w:val="bullet"/>
      <w:pStyle w:val="40"/>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36D9C689"/>
    <w:multiLevelType w:val="multilevel"/>
    <w:tmpl w:val="36D9C689"/>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3">
    <w:nsid w:val="40537A23"/>
    <w:multiLevelType w:val="multilevel"/>
    <w:tmpl w:val="40537A23"/>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360"/>
        </w:tabs>
        <w:ind w:left="360" w:hanging="360"/>
      </w:pPr>
      <w:rPr>
        <w:rFonts w:hint="default"/>
        <w:b w:val="0"/>
        <w:bCs w:val="0"/>
      </w:rPr>
    </w:lvl>
    <w:lvl w:ilvl="2" w:tentative="0">
      <w:start w:val="1"/>
      <w:numFmt w:val="decimal"/>
      <w:lvlText w:val="%3."/>
      <w:lvlJc w:val="left"/>
      <w:pPr>
        <w:ind w:left="420" w:hanging="420"/>
      </w:p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4">
    <w:nsid w:val="557C2AF5"/>
    <w:multiLevelType w:val="multilevel"/>
    <w:tmpl w:val="557C2AF5"/>
    <w:lvl w:ilvl="0" w:tentative="0">
      <w:start w:val="1"/>
      <w:numFmt w:val="decimal"/>
      <w:pStyle w:val="3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7C0519BB"/>
    <w:multiLevelType w:val="multilevel"/>
    <w:tmpl w:val="7C0519BB"/>
    <w:lvl w:ilvl="0" w:tentative="0">
      <w:start w:val="1"/>
      <w:numFmt w:val="decimal"/>
      <w:pStyle w:val="3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4"/>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3"/>
      <w:suff w:val="nothing"/>
      <w:lvlText w:val="%1.%2.%3　"/>
      <w:lvlJc w:val="left"/>
      <w:pPr>
        <w:ind w:left="850" w:firstLine="0"/>
      </w:pPr>
      <w:rPr>
        <w:rFonts w:hint="eastAsia" w:ascii="黑体" w:hAnsi="Times New Roman" w:eastAsia="黑体"/>
        <w:b w:val="0"/>
        <w:i w:val="0"/>
        <w:dstrike w:val="0"/>
        <w:color w:val="auto"/>
        <w:sz w:val="21"/>
        <w:szCs w:val="21"/>
      </w:rPr>
    </w:lvl>
    <w:lvl w:ilvl="3" w:tentative="0">
      <w:start w:val="1"/>
      <w:numFmt w:val="decimal"/>
      <w:pStyle w:val="32"/>
      <w:suff w:val="nothing"/>
      <w:lvlText w:val="%1.%2.%3.%4　"/>
      <w:lvlJc w:val="left"/>
      <w:pPr>
        <w:ind w:left="2127" w:firstLine="0"/>
      </w:pPr>
      <w:rPr>
        <w:rFonts w:hint="eastAsia" w:ascii="黑体" w:hAnsi="Times New Roman" w:eastAsia="黑体"/>
        <w:b w:val="0"/>
        <w:i w:val="0"/>
        <w:sz w:val="21"/>
      </w:rPr>
    </w:lvl>
    <w:lvl w:ilvl="4" w:tentative="0">
      <w:start w:val="1"/>
      <w:numFmt w:val="decimal"/>
      <w:pStyle w:val="31"/>
      <w:suff w:val="nothing"/>
      <w:lvlText w:val="%1.%2.%3.%4.%5　"/>
      <w:lvlJc w:val="left"/>
      <w:pPr>
        <w:ind w:left="0" w:firstLine="0"/>
      </w:pPr>
      <w:rPr>
        <w:rFonts w:hint="eastAsia" w:ascii="黑体" w:hAnsi="Times New Roman" w:eastAsia="黑体"/>
        <w:b w:val="0"/>
        <w:i w:val="0"/>
        <w:sz w:val="21"/>
      </w:rPr>
    </w:lvl>
    <w:lvl w:ilvl="5" w:tentative="0">
      <w:start w:val="1"/>
      <w:numFmt w:val="decimal"/>
      <w:pStyle w:val="3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C8B"/>
    <w:rsid w:val="00000FE1"/>
    <w:rsid w:val="00001AFC"/>
    <w:rsid w:val="00002AC7"/>
    <w:rsid w:val="00006FF1"/>
    <w:rsid w:val="000078F6"/>
    <w:rsid w:val="00007C19"/>
    <w:rsid w:val="00011BFE"/>
    <w:rsid w:val="00015792"/>
    <w:rsid w:val="00015FB5"/>
    <w:rsid w:val="000234C5"/>
    <w:rsid w:val="00025EFE"/>
    <w:rsid w:val="00033E4E"/>
    <w:rsid w:val="00034A92"/>
    <w:rsid w:val="00040F59"/>
    <w:rsid w:val="000418B7"/>
    <w:rsid w:val="0004505C"/>
    <w:rsid w:val="00051D09"/>
    <w:rsid w:val="00060421"/>
    <w:rsid w:val="0006221F"/>
    <w:rsid w:val="00066175"/>
    <w:rsid w:val="00066180"/>
    <w:rsid w:val="00066984"/>
    <w:rsid w:val="0007030E"/>
    <w:rsid w:val="00070612"/>
    <w:rsid w:val="0007219E"/>
    <w:rsid w:val="000736F1"/>
    <w:rsid w:val="000761BE"/>
    <w:rsid w:val="0008022F"/>
    <w:rsid w:val="00083C1B"/>
    <w:rsid w:val="00084813"/>
    <w:rsid w:val="000873AC"/>
    <w:rsid w:val="00087898"/>
    <w:rsid w:val="000A0B7B"/>
    <w:rsid w:val="000A1990"/>
    <w:rsid w:val="000A1F4C"/>
    <w:rsid w:val="000A2390"/>
    <w:rsid w:val="000A2E69"/>
    <w:rsid w:val="000B61F4"/>
    <w:rsid w:val="000C09D4"/>
    <w:rsid w:val="000C1ED2"/>
    <w:rsid w:val="000C3525"/>
    <w:rsid w:val="000C43B2"/>
    <w:rsid w:val="000C6663"/>
    <w:rsid w:val="000D11E9"/>
    <w:rsid w:val="000E1446"/>
    <w:rsid w:val="000E179E"/>
    <w:rsid w:val="000E2C63"/>
    <w:rsid w:val="000E30F4"/>
    <w:rsid w:val="000E3886"/>
    <w:rsid w:val="000E4F91"/>
    <w:rsid w:val="000E60BE"/>
    <w:rsid w:val="000E7636"/>
    <w:rsid w:val="000F0DBB"/>
    <w:rsid w:val="000F2BDC"/>
    <w:rsid w:val="000F4546"/>
    <w:rsid w:val="000F645D"/>
    <w:rsid w:val="00100038"/>
    <w:rsid w:val="0010262D"/>
    <w:rsid w:val="00103224"/>
    <w:rsid w:val="00103FF2"/>
    <w:rsid w:val="00105CB8"/>
    <w:rsid w:val="00106660"/>
    <w:rsid w:val="00106937"/>
    <w:rsid w:val="00106D49"/>
    <w:rsid w:val="0011154C"/>
    <w:rsid w:val="00112210"/>
    <w:rsid w:val="00117317"/>
    <w:rsid w:val="0012243E"/>
    <w:rsid w:val="0012557A"/>
    <w:rsid w:val="001272AC"/>
    <w:rsid w:val="00132364"/>
    <w:rsid w:val="0013488B"/>
    <w:rsid w:val="001360CD"/>
    <w:rsid w:val="0013667D"/>
    <w:rsid w:val="00141976"/>
    <w:rsid w:val="001434AB"/>
    <w:rsid w:val="00144B49"/>
    <w:rsid w:val="0014523D"/>
    <w:rsid w:val="00145B0D"/>
    <w:rsid w:val="00147162"/>
    <w:rsid w:val="00150775"/>
    <w:rsid w:val="00151E13"/>
    <w:rsid w:val="00162064"/>
    <w:rsid w:val="00164640"/>
    <w:rsid w:val="00165B01"/>
    <w:rsid w:val="00166E9E"/>
    <w:rsid w:val="0016746F"/>
    <w:rsid w:val="00171917"/>
    <w:rsid w:val="00172A27"/>
    <w:rsid w:val="0017524C"/>
    <w:rsid w:val="001753E4"/>
    <w:rsid w:val="001805DC"/>
    <w:rsid w:val="00184B76"/>
    <w:rsid w:val="00192ADF"/>
    <w:rsid w:val="00193DC1"/>
    <w:rsid w:val="00194090"/>
    <w:rsid w:val="00194140"/>
    <w:rsid w:val="00195B42"/>
    <w:rsid w:val="001A20F1"/>
    <w:rsid w:val="001A261C"/>
    <w:rsid w:val="001A756C"/>
    <w:rsid w:val="001A7943"/>
    <w:rsid w:val="001B021D"/>
    <w:rsid w:val="001B0A25"/>
    <w:rsid w:val="001C2CC7"/>
    <w:rsid w:val="001C415B"/>
    <w:rsid w:val="001C4244"/>
    <w:rsid w:val="001C5566"/>
    <w:rsid w:val="001C7CFD"/>
    <w:rsid w:val="001D0735"/>
    <w:rsid w:val="001D2605"/>
    <w:rsid w:val="001D27EF"/>
    <w:rsid w:val="001D4088"/>
    <w:rsid w:val="001D5EB4"/>
    <w:rsid w:val="001D71ED"/>
    <w:rsid w:val="001E127B"/>
    <w:rsid w:val="001E368F"/>
    <w:rsid w:val="001E44BD"/>
    <w:rsid w:val="001E5FE8"/>
    <w:rsid w:val="001F2651"/>
    <w:rsid w:val="001F426B"/>
    <w:rsid w:val="001F4F3C"/>
    <w:rsid w:val="001F6B98"/>
    <w:rsid w:val="002004A5"/>
    <w:rsid w:val="002018B1"/>
    <w:rsid w:val="00203A83"/>
    <w:rsid w:val="00204D88"/>
    <w:rsid w:val="00205657"/>
    <w:rsid w:val="00206112"/>
    <w:rsid w:val="00210758"/>
    <w:rsid w:val="00210CEA"/>
    <w:rsid w:val="00211EAC"/>
    <w:rsid w:val="0021234A"/>
    <w:rsid w:val="00215304"/>
    <w:rsid w:val="00215FA6"/>
    <w:rsid w:val="00217FC1"/>
    <w:rsid w:val="00226EE2"/>
    <w:rsid w:val="002379D9"/>
    <w:rsid w:val="002405A3"/>
    <w:rsid w:val="00240AC5"/>
    <w:rsid w:val="0024272C"/>
    <w:rsid w:val="00246589"/>
    <w:rsid w:val="00247236"/>
    <w:rsid w:val="00247480"/>
    <w:rsid w:val="00247AD6"/>
    <w:rsid w:val="00251CD0"/>
    <w:rsid w:val="00256309"/>
    <w:rsid w:val="0026089C"/>
    <w:rsid w:val="00261C94"/>
    <w:rsid w:val="00265AEA"/>
    <w:rsid w:val="00266D8B"/>
    <w:rsid w:val="00271F0D"/>
    <w:rsid w:val="00275310"/>
    <w:rsid w:val="0028272C"/>
    <w:rsid w:val="002841AA"/>
    <w:rsid w:val="002850CF"/>
    <w:rsid w:val="0028539C"/>
    <w:rsid w:val="0028550E"/>
    <w:rsid w:val="00285F5F"/>
    <w:rsid w:val="00293084"/>
    <w:rsid w:val="0029364C"/>
    <w:rsid w:val="00294E34"/>
    <w:rsid w:val="002956ED"/>
    <w:rsid w:val="002963F6"/>
    <w:rsid w:val="002965D8"/>
    <w:rsid w:val="002A0245"/>
    <w:rsid w:val="002A0B4D"/>
    <w:rsid w:val="002A2BC5"/>
    <w:rsid w:val="002A33B5"/>
    <w:rsid w:val="002A4022"/>
    <w:rsid w:val="002A627B"/>
    <w:rsid w:val="002B122A"/>
    <w:rsid w:val="002B3A7D"/>
    <w:rsid w:val="002B48D0"/>
    <w:rsid w:val="002B4D17"/>
    <w:rsid w:val="002B7769"/>
    <w:rsid w:val="002C1F24"/>
    <w:rsid w:val="002C3515"/>
    <w:rsid w:val="002C7A91"/>
    <w:rsid w:val="002D01C2"/>
    <w:rsid w:val="002D2FFE"/>
    <w:rsid w:val="002D3112"/>
    <w:rsid w:val="002D3918"/>
    <w:rsid w:val="002D6864"/>
    <w:rsid w:val="002D7524"/>
    <w:rsid w:val="002E081B"/>
    <w:rsid w:val="002E10AE"/>
    <w:rsid w:val="002E18E6"/>
    <w:rsid w:val="002E1A0D"/>
    <w:rsid w:val="002E4838"/>
    <w:rsid w:val="002E5B0A"/>
    <w:rsid w:val="002E68D8"/>
    <w:rsid w:val="002F05B9"/>
    <w:rsid w:val="002F05E7"/>
    <w:rsid w:val="002F1388"/>
    <w:rsid w:val="002F1413"/>
    <w:rsid w:val="002F174C"/>
    <w:rsid w:val="002F4981"/>
    <w:rsid w:val="002F538E"/>
    <w:rsid w:val="002F5A25"/>
    <w:rsid w:val="003002B0"/>
    <w:rsid w:val="00301AF7"/>
    <w:rsid w:val="00302268"/>
    <w:rsid w:val="0030464D"/>
    <w:rsid w:val="00305529"/>
    <w:rsid w:val="003056C6"/>
    <w:rsid w:val="003059A2"/>
    <w:rsid w:val="00307751"/>
    <w:rsid w:val="00310023"/>
    <w:rsid w:val="00310AB1"/>
    <w:rsid w:val="003158EB"/>
    <w:rsid w:val="00316FE5"/>
    <w:rsid w:val="003176D7"/>
    <w:rsid w:val="003201BB"/>
    <w:rsid w:val="00320707"/>
    <w:rsid w:val="00322112"/>
    <w:rsid w:val="00323092"/>
    <w:rsid w:val="0032377A"/>
    <w:rsid w:val="00324219"/>
    <w:rsid w:val="003245F1"/>
    <w:rsid w:val="003336F3"/>
    <w:rsid w:val="00335CC6"/>
    <w:rsid w:val="0033777A"/>
    <w:rsid w:val="00343512"/>
    <w:rsid w:val="00346D4B"/>
    <w:rsid w:val="00354773"/>
    <w:rsid w:val="00354ED7"/>
    <w:rsid w:val="00356FA0"/>
    <w:rsid w:val="00362992"/>
    <w:rsid w:val="0036627C"/>
    <w:rsid w:val="00371BEE"/>
    <w:rsid w:val="003761BD"/>
    <w:rsid w:val="003770ED"/>
    <w:rsid w:val="003813E2"/>
    <w:rsid w:val="00382D25"/>
    <w:rsid w:val="0038395A"/>
    <w:rsid w:val="00384488"/>
    <w:rsid w:val="00387A33"/>
    <w:rsid w:val="003917B3"/>
    <w:rsid w:val="00392FC5"/>
    <w:rsid w:val="003935CA"/>
    <w:rsid w:val="00394EC1"/>
    <w:rsid w:val="00394F0A"/>
    <w:rsid w:val="00394FEA"/>
    <w:rsid w:val="003A2161"/>
    <w:rsid w:val="003A3BB3"/>
    <w:rsid w:val="003A695B"/>
    <w:rsid w:val="003A7D10"/>
    <w:rsid w:val="003B26B3"/>
    <w:rsid w:val="003B41DC"/>
    <w:rsid w:val="003C2F20"/>
    <w:rsid w:val="003C6BB7"/>
    <w:rsid w:val="003C7F03"/>
    <w:rsid w:val="003D0681"/>
    <w:rsid w:val="003D17F2"/>
    <w:rsid w:val="003D3C1E"/>
    <w:rsid w:val="003D3D74"/>
    <w:rsid w:val="003D4439"/>
    <w:rsid w:val="003D6AE1"/>
    <w:rsid w:val="003E2726"/>
    <w:rsid w:val="003E2D57"/>
    <w:rsid w:val="003E4C69"/>
    <w:rsid w:val="003E550F"/>
    <w:rsid w:val="003E5EDA"/>
    <w:rsid w:val="003E6D8E"/>
    <w:rsid w:val="003E7ABA"/>
    <w:rsid w:val="003F13DE"/>
    <w:rsid w:val="003F6424"/>
    <w:rsid w:val="003F7695"/>
    <w:rsid w:val="00401AB1"/>
    <w:rsid w:val="00404029"/>
    <w:rsid w:val="00405A25"/>
    <w:rsid w:val="00406D18"/>
    <w:rsid w:val="00407C4D"/>
    <w:rsid w:val="004102E1"/>
    <w:rsid w:val="00412438"/>
    <w:rsid w:val="00413702"/>
    <w:rsid w:val="00415013"/>
    <w:rsid w:val="00416EEC"/>
    <w:rsid w:val="0041750E"/>
    <w:rsid w:val="004177AC"/>
    <w:rsid w:val="004236EE"/>
    <w:rsid w:val="004237FB"/>
    <w:rsid w:val="00425312"/>
    <w:rsid w:val="00432D44"/>
    <w:rsid w:val="00433D65"/>
    <w:rsid w:val="00434422"/>
    <w:rsid w:val="00435823"/>
    <w:rsid w:val="00437527"/>
    <w:rsid w:val="00437D83"/>
    <w:rsid w:val="0044495B"/>
    <w:rsid w:val="00446C3F"/>
    <w:rsid w:val="00450E70"/>
    <w:rsid w:val="00451BDA"/>
    <w:rsid w:val="00453A9D"/>
    <w:rsid w:val="00453DA7"/>
    <w:rsid w:val="004544F5"/>
    <w:rsid w:val="00454B7A"/>
    <w:rsid w:val="004564C2"/>
    <w:rsid w:val="00461088"/>
    <w:rsid w:val="00461EE0"/>
    <w:rsid w:val="00462125"/>
    <w:rsid w:val="004657A0"/>
    <w:rsid w:val="0046610C"/>
    <w:rsid w:val="00473C8D"/>
    <w:rsid w:val="00475818"/>
    <w:rsid w:val="004758B0"/>
    <w:rsid w:val="00480974"/>
    <w:rsid w:val="004849BF"/>
    <w:rsid w:val="0048523C"/>
    <w:rsid w:val="00487E70"/>
    <w:rsid w:val="00487FDD"/>
    <w:rsid w:val="00490320"/>
    <w:rsid w:val="00493DC1"/>
    <w:rsid w:val="0049629F"/>
    <w:rsid w:val="004B4503"/>
    <w:rsid w:val="004B715E"/>
    <w:rsid w:val="004B7C5E"/>
    <w:rsid w:val="004C66FB"/>
    <w:rsid w:val="004D0FA2"/>
    <w:rsid w:val="004D120E"/>
    <w:rsid w:val="004D296F"/>
    <w:rsid w:val="004D3066"/>
    <w:rsid w:val="004D3D44"/>
    <w:rsid w:val="004D419B"/>
    <w:rsid w:val="004D43BF"/>
    <w:rsid w:val="004D503F"/>
    <w:rsid w:val="004D64F8"/>
    <w:rsid w:val="004E0ABD"/>
    <w:rsid w:val="004E0CA2"/>
    <w:rsid w:val="004E0E90"/>
    <w:rsid w:val="004F301B"/>
    <w:rsid w:val="004F34CC"/>
    <w:rsid w:val="004F3F65"/>
    <w:rsid w:val="004F48A5"/>
    <w:rsid w:val="004F7A88"/>
    <w:rsid w:val="0050200A"/>
    <w:rsid w:val="00504E57"/>
    <w:rsid w:val="0051176C"/>
    <w:rsid w:val="005126F0"/>
    <w:rsid w:val="00513ECE"/>
    <w:rsid w:val="005166ED"/>
    <w:rsid w:val="005171A6"/>
    <w:rsid w:val="005172BA"/>
    <w:rsid w:val="00517931"/>
    <w:rsid w:val="0052081B"/>
    <w:rsid w:val="00522199"/>
    <w:rsid w:val="005241AA"/>
    <w:rsid w:val="00531A6C"/>
    <w:rsid w:val="00534464"/>
    <w:rsid w:val="00542196"/>
    <w:rsid w:val="005431D3"/>
    <w:rsid w:val="00543AE2"/>
    <w:rsid w:val="0054400B"/>
    <w:rsid w:val="00551FAE"/>
    <w:rsid w:val="005522D4"/>
    <w:rsid w:val="00552DEE"/>
    <w:rsid w:val="005542A0"/>
    <w:rsid w:val="005556FF"/>
    <w:rsid w:val="00555B32"/>
    <w:rsid w:val="00556AC4"/>
    <w:rsid w:val="00557A74"/>
    <w:rsid w:val="005631CD"/>
    <w:rsid w:val="00566A17"/>
    <w:rsid w:val="005706FC"/>
    <w:rsid w:val="00572CF1"/>
    <w:rsid w:val="00572D4E"/>
    <w:rsid w:val="005770F6"/>
    <w:rsid w:val="005808DE"/>
    <w:rsid w:val="00582D06"/>
    <w:rsid w:val="0059015F"/>
    <w:rsid w:val="00590658"/>
    <w:rsid w:val="00593029"/>
    <w:rsid w:val="00594D55"/>
    <w:rsid w:val="00595329"/>
    <w:rsid w:val="005A26D0"/>
    <w:rsid w:val="005A3BCB"/>
    <w:rsid w:val="005A4586"/>
    <w:rsid w:val="005A5A66"/>
    <w:rsid w:val="005A7CA0"/>
    <w:rsid w:val="005B0C5D"/>
    <w:rsid w:val="005B1E85"/>
    <w:rsid w:val="005B7767"/>
    <w:rsid w:val="005B7DE5"/>
    <w:rsid w:val="005C4171"/>
    <w:rsid w:val="005D1C07"/>
    <w:rsid w:val="005D1CB2"/>
    <w:rsid w:val="005D582A"/>
    <w:rsid w:val="005E0E78"/>
    <w:rsid w:val="005E25BC"/>
    <w:rsid w:val="005E4779"/>
    <w:rsid w:val="005F0EB7"/>
    <w:rsid w:val="005F3119"/>
    <w:rsid w:val="005F33DE"/>
    <w:rsid w:val="005F73EA"/>
    <w:rsid w:val="005F7ACD"/>
    <w:rsid w:val="006012A3"/>
    <w:rsid w:val="00602953"/>
    <w:rsid w:val="006070F0"/>
    <w:rsid w:val="006104E2"/>
    <w:rsid w:val="006110F6"/>
    <w:rsid w:val="0061145E"/>
    <w:rsid w:val="0061167E"/>
    <w:rsid w:val="00614295"/>
    <w:rsid w:val="006145AD"/>
    <w:rsid w:val="0062208C"/>
    <w:rsid w:val="00623F5A"/>
    <w:rsid w:val="00624C77"/>
    <w:rsid w:val="00625A66"/>
    <w:rsid w:val="0062727B"/>
    <w:rsid w:val="0063106A"/>
    <w:rsid w:val="006329F2"/>
    <w:rsid w:val="00632C7E"/>
    <w:rsid w:val="00636CF9"/>
    <w:rsid w:val="00637719"/>
    <w:rsid w:val="00641814"/>
    <w:rsid w:val="00641F3F"/>
    <w:rsid w:val="00643071"/>
    <w:rsid w:val="0064565D"/>
    <w:rsid w:val="00647B22"/>
    <w:rsid w:val="00650995"/>
    <w:rsid w:val="00651E5B"/>
    <w:rsid w:val="00653C80"/>
    <w:rsid w:val="006574EB"/>
    <w:rsid w:val="006601D5"/>
    <w:rsid w:val="00664491"/>
    <w:rsid w:val="006646FB"/>
    <w:rsid w:val="00665695"/>
    <w:rsid w:val="00665E70"/>
    <w:rsid w:val="00666C0A"/>
    <w:rsid w:val="0067309C"/>
    <w:rsid w:val="006804FB"/>
    <w:rsid w:val="006822E7"/>
    <w:rsid w:val="00682856"/>
    <w:rsid w:val="0068760D"/>
    <w:rsid w:val="00691F06"/>
    <w:rsid w:val="00697159"/>
    <w:rsid w:val="006A33F4"/>
    <w:rsid w:val="006A4790"/>
    <w:rsid w:val="006A75E5"/>
    <w:rsid w:val="006B16F9"/>
    <w:rsid w:val="006C1592"/>
    <w:rsid w:val="006C2CCC"/>
    <w:rsid w:val="006C467C"/>
    <w:rsid w:val="006C4BCF"/>
    <w:rsid w:val="006D2D9C"/>
    <w:rsid w:val="006D4BFB"/>
    <w:rsid w:val="006E0B3A"/>
    <w:rsid w:val="006E0FE7"/>
    <w:rsid w:val="006E276C"/>
    <w:rsid w:val="006E33B0"/>
    <w:rsid w:val="006E6F81"/>
    <w:rsid w:val="006F0CF4"/>
    <w:rsid w:val="006F1B13"/>
    <w:rsid w:val="006F374A"/>
    <w:rsid w:val="006F6D1E"/>
    <w:rsid w:val="006F7170"/>
    <w:rsid w:val="006F7D56"/>
    <w:rsid w:val="00700E70"/>
    <w:rsid w:val="00704B9C"/>
    <w:rsid w:val="00705911"/>
    <w:rsid w:val="00711645"/>
    <w:rsid w:val="0071217A"/>
    <w:rsid w:val="00712ABF"/>
    <w:rsid w:val="0071304E"/>
    <w:rsid w:val="007215C0"/>
    <w:rsid w:val="00723FA7"/>
    <w:rsid w:val="00730239"/>
    <w:rsid w:val="00733292"/>
    <w:rsid w:val="00736205"/>
    <w:rsid w:val="0073763B"/>
    <w:rsid w:val="00743034"/>
    <w:rsid w:val="007431BB"/>
    <w:rsid w:val="007433EF"/>
    <w:rsid w:val="00746AC4"/>
    <w:rsid w:val="0075087D"/>
    <w:rsid w:val="00754858"/>
    <w:rsid w:val="007555E8"/>
    <w:rsid w:val="00755C65"/>
    <w:rsid w:val="00762C36"/>
    <w:rsid w:val="0076357A"/>
    <w:rsid w:val="00771DBD"/>
    <w:rsid w:val="00772CCD"/>
    <w:rsid w:val="00773381"/>
    <w:rsid w:val="007766C0"/>
    <w:rsid w:val="0077672B"/>
    <w:rsid w:val="00776BEF"/>
    <w:rsid w:val="00776F12"/>
    <w:rsid w:val="007774A6"/>
    <w:rsid w:val="007805BC"/>
    <w:rsid w:val="0078067A"/>
    <w:rsid w:val="0078255C"/>
    <w:rsid w:val="00784BE3"/>
    <w:rsid w:val="00785D24"/>
    <w:rsid w:val="00790385"/>
    <w:rsid w:val="007919AC"/>
    <w:rsid w:val="00792A95"/>
    <w:rsid w:val="0079538E"/>
    <w:rsid w:val="00795E82"/>
    <w:rsid w:val="00797192"/>
    <w:rsid w:val="007A00BB"/>
    <w:rsid w:val="007B3DA4"/>
    <w:rsid w:val="007B48E4"/>
    <w:rsid w:val="007B5B2B"/>
    <w:rsid w:val="007B6E0E"/>
    <w:rsid w:val="007C2F6E"/>
    <w:rsid w:val="007C31EC"/>
    <w:rsid w:val="007D2915"/>
    <w:rsid w:val="007E2FEA"/>
    <w:rsid w:val="007E4AD6"/>
    <w:rsid w:val="007E4FD5"/>
    <w:rsid w:val="007E6B46"/>
    <w:rsid w:val="007E774E"/>
    <w:rsid w:val="007E7D14"/>
    <w:rsid w:val="007F027E"/>
    <w:rsid w:val="007F0C8A"/>
    <w:rsid w:val="007F1372"/>
    <w:rsid w:val="007F156D"/>
    <w:rsid w:val="007F3F0A"/>
    <w:rsid w:val="007F6C29"/>
    <w:rsid w:val="007F728F"/>
    <w:rsid w:val="007F7CEF"/>
    <w:rsid w:val="008001DB"/>
    <w:rsid w:val="0080058C"/>
    <w:rsid w:val="0080161D"/>
    <w:rsid w:val="00802527"/>
    <w:rsid w:val="00821168"/>
    <w:rsid w:val="00821B86"/>
    <w:rsid w:val="0082240D"/>
    <w:rsid w:val="00823755"/>
    <w:rsid w:val="0082560C"/>
    <w:rsid w:val="008303D2"/>
    <w:rsid w:val="0083318C"/>
    <w:rsid w:val="00834903"/>
    <w:rsid w:val="00834919"/>
    <w:rsid w:val="0084004B"/>
    <w:rsid w:val="00840392"/>
    <w:rsid w:val="00840DA2"/>
    <w:rsid w:val="00840FD2"/>
    <w:rsid w:val="00842AF0"/>
    <w:rsid w:val="0084354C"/>
    <w:rsid w:val="00843C59"/>
    <w:rsid w:val="00850BA2"/>
    <w:rsid w:val="00851352"/>
    <w:rsid w:val="00853500"/>
    <w:rsid w:val="0085634C"/>
    <w:rsid w:val="00856C3A"/>
    <w:rsid w:val="00860AD7"/>
    <w:rsid w:val="00862735"/>
    <w:rsid w:val="00866048"/>
    <w:rsid w:val="0086688B"/>
    <w:rsid w:val="00870FF4"/>
    <w:rsid w:val="00875A96"/>
    <w:rsid w:val="0087742B"/>
    <w:rsid w:val="0087770C"/>
    <w:rsid w:val="008818CF"/>
    <w:rsid w:val="00894100"/>
    <w:rsid w:val="0089515C"/>
    <w:rsid w:val="008A290D"/>
    <w:rsid w:val="008A345B"/>
    <w:rsid w:val="008B27CB"/>
    <w:rsid w:val="008B54BB"/>
    <w:rsid w:val="008B6212"/>
    <w:rsid w:val="008C33AE"/>
    <w:rsid w:val="008C5FF9"/>
    <w:rsid w:val="008C641D"/>
    <w:rsid w:val="008D1A34"/>
    <w:rsid w:val="008D1B32"/>
    <w:rsid w:val="008D1F47"/>
    <w:rsid w:val="008D2009"/>
    <w:rsid w:val="008D2607"/>
    <w:rsid w:val="008D30EC"/>
    <w:rsid w:val="008D4121"/>
    <w:rsid w:val="008D5DF2"/>
    <w:rsid w:val="008D5DF7"/>
    <w:rsid w:val="008D7C7D"/>
    <w:rsid w:val="008E087D"/>
    <w:rsid w:val="008E1D0A"/>
    <w:rsid w:val="008E452E"/>
    <w:rsid w:val="008E5E84"/>
    <w:rsid w:val="008E7666"/>
    <w:rsid w:val="008E76A4"/>
    <w:rsid w:val="008E76D2"/>
    <w:rsid w:val="008F197F"/>
    <w:rsid w:val="008F5C85"/>
    <w:rsid w:val="00900A5E"/>
    <w:rsid w:val="00903C38"/>
    <w:rsid w:val="00903D5A"/>
    <w:rsid w:val="00903E33"/>
    <w:rsid w:val="00904EA6"/>
    <w:rsid w:val="00905D00"/>
    <w:rsid w:val="009060F1"/>
    <w:rsid w:val="00907CDA"/>
    <w:rsid w:val="00912178"/>
    <w:rsid w:val="00912AFA"/>
    <w:rsid w:val="00912B99"/>
    <w:rsid w:val="00913555"/>
    <w:rsid w:val="009161B1"/>
    <w:rsid w:val="0092399C"/>
    <w:rsid w:val="00932B47"/>
    <w:rsid w:val="00935C4A"/>
    <w:rsid w:val="0093644F"/>
    <w:rsid w:val="00936A18"/>
    <w:rsid w:val="00937A52"/>
    <w:rsid w:val="00937E13"/>
    <w:rsid w:val="009463DB"/>
    <w:rsid w:val="00946C7C"/>
    <w:rsid w:val="00946CFA"/>
    <w:rsid w:val="00954D31"/>
    <w:rsid w:val="00954FDE"/>
    <w:rsid w:val="009579B3"/>
    <w:rsid w:val="00967847"/>
    <w:rsid w:val="00970067"/>
    <w:rsid w:val="00971A37"/>
    <w:rsid w:val="00977798"/>
    <w:rsid w:val="00977B08"/>
    <w:rsid w:val="00983296"/>
    <w:rsid w:val="00983358"/>
    <w:rsid w:val="009836AC"/>
    <w:rsid w:val="009906B5"/>
    <w:rsid w:val="0099251C"/>
    <w:rsid w:val="00994D2A"/>
    <w:rsid w:val="00995FB2"/>
    <w:rsid w:val="009A3995"/>
    <w:rsid w:val="009A770A"/>
    <w:rsid w:val="009B01D6"/>
    <w:rsid w:val="009B0EBA"/>
    <w:rsid w:val="009B148D"/>
    <w:rsid w:val="009B29D3"/>
    <w:rsid w:val="009C07AE"/>
    <w:rsid w:val="009C4425"/>
    <w:rsid w:val="009C50C4"/>
    <w:rsid w:val="009C5C8D"/>
    <w:rsid w:val="009C6893"/>
    <w:rsid w:val="009D271A"/>
    <w:rsid w:val="009D33C2"/>
    <w:rsid w:val="009D3615"/>
    <w:rsid w:val="009D4D61"/>
    <w:rsid w:val="009D7AA1"/>
    <w:rsid w:val="009D7CA5"/>
    <w:rsid w:val="009E109D"/>
    <w:rsid w:val="009E30A5"/>
    <w:rsid w:val="009E30B9"/>
    <w:rsid w:val="009E310C"/>
    <w:rsid w:val="009E4A16"/>
    <w:rsid w:val="009E4FD9"/>
    <w:rsid w:val="009E70FB"/>
    <w:rsid w:val="009F1547"/>
    <w:rsid w:val="009F233F"/>
    <w:rsid w:val="009F44DB"/>
    <w:rsid w:val="009F6E7A"/>
    <w:rsid w:val="009F791F"/>
    <w:rsid w:val="00A00BFE"/>
    <w:rsid w:val="00A01E68"/>
    <w:rsid w:val="00A02E1E"/>
    <w:rsid w:val="00A03AFD"/>
    <w:rsid w:val="00A12737"/>
    <w:rsid w:val="00A15C2C"/>
    <w:rsid w:val="00A170E3"/>
    <w:rsid w:val="00A17C88"/>
    <w:rsid w:val="00A2161D"/>
    <w:rsid w:val="00A231C5"/>
    <w:rsid w:val="00A276C4"/>
    <w:rsid w:val="00A30C64"/>
    <w:rsid w:val="00A410F1"/>
    <w:rsid w:val="00A42D2B"/>
    <w:rsid w:val="00A43F36"/>
    <w:rsid w:val="00A510C7"/>
    <w:rsid w:val="00A534B0"/>
    <w:rsid w:val="00A53826"/>
    <w:rsid w:val="00A54AA3"/>
    <w:rsid w:val="00A550D0"/>
    <w:rsid w:val="00A56482"/>
    <w:rsid w:val="00A575FC"/>
    <w:rsid w:val="00A57F20"/>
    <w:rsid w:val="00A60DCB"/>
    <w:rsid w:val="00A645CE"/>
    <w:rsid w:val="00A70CBD"/>
    <w:rsid w:val="00A712A4"/>
    <w:rsid w:val="00A740DE"/>
    <w:rsid w:val="00A762EA"/>
    <w:rsid w:val="00A7753F"/>
    <w:rsid w:val="00A80B1E"/>
    <w:rsid w:val="00A80BA8"/>
    <w:rsid w:val="00A829D0"/>
    <w:rsid w:val="00A84EC6"/>
    <w:rsid w:val="00A856A4"/>
    <w:rsid w:val="00A8725D"/>
    <w:rsid w:val="00A87780"/>
    <w:rsid w:val="00A877F6"/>
    <w:rsid w:val="00A87977"/>
    <w:rsid w:val="00A93C28"/>
    <w:rsid w:val="00AA1715"/>
    <w:rsid w:val="00AA3D52"/>
    <w:rsid w:val="00AA78E1"/>
    <w:rsid w:val="00AB382D"/>
    <w:rsid w:val="00AB7FA8"/>
    <w:rsid w:val="00AC0284"/>
    <w:rsid w:val="00AC4FC8"/>
    <w:rsid w:val="00AC5941"/>
    <w:rsid w:val="00AC7FBD"/>
    <w:rsid w:val="00AD3409"/>
    <w:rsid w:val="00AE1052"/>
    <w:rsid w:val="00AF5290"/>
    <w:rsid w:val="00AF62B0"/>
    <w:rsid w:val="00B0077F"/>
    <w:rsid w:val="00B0311C"/>
    <w:rsid w:val="00B05D6D"/>
    <w:rsid w:val="00B10E8C"/>
    <w:rsid w:val="00B1253E"/>
    <w:rsid w:val="00B160B7"/>
    <w:rsid w:val="00B17973"/>
    <w:rsid w:val="00B20E5D"/>
    <w:rsid w:val="00B20F69"/>
    <w:rsid w:val="00B229CD"/>
    <w:rsid w:val="00B23780"/>
    <w:rsid w:val="00B24B04"/>
    <w:rsid w:val="00B271E8"/>
    <w:rsid w:val="00B31EE9"/>
    <w:rsid w:val="00B34A2C"/>
    <w:rsid w:val="00B3607C"/>
    <w:rsid w:val="00B36CD5"/>
    <w:rsid w:val="00B36D48"/>
    <w:rsid w:val="00B374A1"/>
    <w:rsid w:val="00B40101"/>
    <w:rsid w:val="00B40E26"/>
    <w:rsid w:val="00B5133A"/>
    <w:rsid w:val="00B51FCF"/>
    <w:rsid w:val="00B60B67"/>
    <w:rsid w:val="00B616F1"/>
    <w:rsid w:val="00B63DDC"/>
    <w:rsid w:val="00B64195"/>
    <w:rsid w:val="00B658C0"/>
    <w:rsid w:val="00B718AB"/>
    <w:rsid w:val="00B75FAB"/>
    <w:rsid w:val="00B7620E"/>
    <w:rsid w:val="00B801B6"/>
    <w:rsid w:val="00B80F97"/>
    <w:rsid w:val="00B816E2"/>
    <w:rsid w:val="00B819A7"/>
    <w:rsid w:val="00B8326F"/>
    <w:rsid w:val="00B8505C"/>
    <w:rsid w:val="00B95A46"/>
    <w:rsid w:val="00BA35B6"/>
    <w:rsid w:val="00BA6B7C"/>
    <w:rsid w:val="00BA7FF1"/>
    <w:rsid w:val="00BB0026"/>
    <w:rsid w:val="00BB02D9"/>
    <w:rsid w:val="00BB435D"/>
    <w:rsid w:val="00BB447C"/>
    <w:rsid w:val="00BB496C"/>
    <w:rsid w:val="00BB60B9"/>
    <w:rsid w:val="00BB72F6"/>
    <w:rsid w:val="00BB7C8D"/>
    <w:rsid w:val="00BC6593"/>
    <w:rsid w:val="00BD1AE2"/>
    <w:rsid w:val="00BD7571"/>
    <w:rsid w:val="00BE084D"/>
    <w:rsid w:val="00BE4171"/>
    <w:rsid w:val="00BE5DDD"/>
    <w:rsid w:val="00BF0CC7"/>
    <w:rsid w:val="00BF6DE9"/>
    <w:rsid w:val="00C003AE"/>
    <w:rsid w:val="00C103CE"/>
    <w:rsid w:val="00C1130A"/>
    <w:rsid w:val="00C117E2"/>
    <w:rsid w:val="00C12849"/>
    <w:rsid w:val="00C20E4E"/>
    <w:rsid w:val="00C230FA"/>
    <w:rsid w:val="00C24B06"/>
    <w:rsid w:val="00C26AD5"/>
    <w:rsid w:val="00C31E87"/>
    <w:rsid w:val="00C31F72"/>
    <w:rsid w:val="00C33F11"/>
    <w:rsid w:val="00C34C1C"/>
    <w:rsid w:val="00C37A26"/>
    <w:rsid w:val="00C37B78"/>
    <w:rsid w:val="00C4032C"/>
    <w:rsid w:val="00C4079F"/>
    <w:rsid w:val="00C44DEF"/>
    <w:rsid w:val="00C47EC2"/>
    <w:rsid w:val="00C50784"/>
    <w:rsid w:val="00C50DD2"/>
    <w:rsid w:val="00C577F1"/>
    <w:rsid w:val="00C6018C"/>
    <w:rsid w:val="00C60240"/>
    <w:rsid w:val="00C63629"/>
    <w:rsid w:val="00C643BD"/>
    <w:rsid w:val="00C67904"/>
    <w:rsid w:val="00C724FE"/>
    <w:rsid w:val="00C75DF9"/>
    <w:rsid w:val="00C767F9"/>
    <w:rsid w:val="00C76B97"/>
    <w:rsid w:val="00C801B5"/>
    <w:rsid w:val="00C85C0E"/>
    <w:rsid w:val="00C9049E"/>
    <w:rsid w:val="00C90B1F"/>
    <w:rsid w:val="00C9722F"/>
    <w:rsid w:val="00C97877"/>
    <w:rsid w:val="00CA2112"/>
    <w:rsid w:val="00CA5E9C"/>
    <w:rsid w:val="00CB1782"/>
    <w:rsid w:val="00CB1C24"/>
    <w:rsid w:val="00CC2521"/>
    <w:rsid w:val="00CC529C"/>
    <w:rsid w:val="00CD1079"/>
    <w:rsid w:val="00CD1B63"/>
    <w:rsid w:val="00CD2767"/>
    <w:rsid w:val="00CD4380"/>
    <w:rsid w:val="00CF4E92"/>
    <w:rsid w:val="00CF5881"/>
    <w:rsid w:val="00CF5E05"/>
    <w:rsid w:val="00CF5F3F"/>
    <w:rsid w:val="00CF6A9C"/>
    <w:rsid w:val="00D01BBA"/>
    <w:rsid w:val="00D04B8E"/>
    <w:rsid w:val="00D05188"/>
    <w:rsid w:val="00D11DE6"/>
    <w:rsid w:val="00D1217F"/>
    <w:rsid w:val="00D175FF"/>
    <w:rsid w:val="00D238C3"/>
    <w:rsid w:val="00D23F6B"/>
    <w:rsid w:val="00D256BE"/>
    <w:rsid w:val="00D31BB7"/>
    <w:rsid w:val="00D32EA9"/>
    <w:rsid w:val="00D34100"/>
    <w:rsid w:val="00D34941"/>
    <w:rsid w:val="00D411CB"/>
    <w:rsid w:val="00D416AC"/>
    <w:rsid w:val="00D4192C"/>
    <w:rsid w:val="00D45281"/>
    <w:rsid w:val="00D52CF8"/>
    <w:rsid w:val="00D53A2E"/>
    <w:rsid w:val="00D5485B"/>
    <w:rsid w:val="00D62D49"/>
    <w:rsid w:val="00D67CF8"/>
    <w:rsid w:val="00D700B5"/>
    <w:rsid w:val="00D72403"/>
    <w:rsid w:val="00D73461"/>
    <w:rsid w:val="00D742F7"/>
    <w:rsid w:val="00D743FD"/>
    <w:rsid w:val="00D7697E"/>
    <w:rsid w:val="00D81575"/>
    <w:rsid w:val="00D8547F"/>
    <w:rsid w:val="00D859BC"/>
    <w:rsid w:val="00D86376"/>
    <w:rsid w:val="00D87BD0"/>
    <w:rsid w:val="00D924A1"/>
    <w:rsid w:val="00D925F1"/>
    <w:rsid w:val="00D933AD"/>
    <w:rsid w:val="00D933EA"/>
    <w:rsid w:val="00D960A2"/>
    <w:rsid w:val="00D96198"/>
    <w:rsid w:val="00D962CA"/>
    <w:rsid w:val="00DA047F"/>
    <w:rsid w:val="00DA0739"/>
    <w:rsid w:val="00DA1A31"/>
    <w:rsid w:val="00DA25FC"/>
    <w:rsid w:val="00DA51C4"/>
    <w:rsid w:val="00DA72D2"/>
    <w:rsid w:val="00DA76F8"/>
    <w:rsid w:val="00DB63AE"/>
    <w:rsid w:val="00DB781C"/>
    <w:rsid w:val="00DC1D98"/>
    <w:rsid w:val="00DC50D1"/>
    <w:rsid w:val="00DC774B"/>
    <w:rsid w:val="00DD03BF"/>
    <w:rsid w:val="00DD09E5"/>
    <w:rsid w:val="00DD14FD"/>
    <w:rsid w:val="00DD209E"/>
    <w:rsid w:val="00DD3DF6"/>
    <w:rsid w:val="00DD4475"/>
    <w:rsid w:val="00DD4D97"/>
    <w:rsid w:val="00DD5D7C"/>
    <w:rsid w:val="00DD73FE"/>
    <w:rsid w:val="00DE0367"/>
    <w:rsid w:val="00DE15B7"/>
    <w:rsid w:val="00DE1679"/>
    <w:rsid w:val="00DE25F6"/>
    <w:rsid w:val="00DE265B"/>
    <w:rsid w:val="00DE3CDD"/>
    <w:rsid w:val="00DE44B5"/>
    <w:rsid w:val="00DE5050"/>
    <w:rsid w:val="00DF04FA"/>
    <w:rsid w:val="00DF10AC"/>
    <w:rsid w:val="00DF3848"/>
    <w:rsid w:val="00DF5A31"/>
    <w:rsid w:val="00E00BDA"/>
    <w:rsid w:val="00E013A2"/>
    <w:rsid w:val="00E01E2B"/>
    <w:rsid w:val="00E04233"/>
    <w:rsid w:val="00E06806"/>
    <w:rsid w:val="00E07A68"/>
    <w:rsid w:val="00E11022"/>
    <w:rsid w:val="00E11A31"/>
    <w:rsid w:val="00E12702"/>
    <w:rsid w:val="00E149BB"/>
    <w:rsid w:val="00E16199"/>
    <w:rsid w:val="00E218B0"/>
    <w:rsid w:val="00E22ED2"/>
    <w:rsid w:val="00E2357E"/>
    <w:rsid w:val="00E24D60"/>
    <w:rsid w:val="00E27CF4"/>
    <w:rsid w:val="00E31A2A"/>
    <w:rsid w:val="00E33778"/>
    <w:rsid w:val="00E359C9"/>
    <w:rsid w:val="00E418D5"/>
    <w:rsid w:val="00E46D40"/>
    <w:rsid w:val="00E51ADB"/>
    <w:rsid w:val="00E52504"/>
    <w:rsid w:val="00E53027"/>
    <w:rsid w:val="00E53B8C"/>
    <w:rsid w:val="00E53DA7"/>
    <w:rsid w:val="00E55D42"/>
    <w:rsid w:val="00E56832"/>
    <w:rsid w:val="00E60A48"/>
    <w:rsid w:val="00E60F94"/>
    <w:rsid w:val="00E6456E"/>
    <w:rsid w:val="00E6706D"/>
    <w:rsid w:val="00E71606"/>
    <w:rsid w:val="00E73BB4"/>
    <w:rsid w:val="00E743C0"/>
    <w:rsid w:val="00E754CB"/>
    <w:rsid w:val="00E75FAE"/>
    <w:rsid w:val="00E80216"/>
    <w:rsid w:val="00E84956"/>
    <w:rsid w:val="00E8616C"/>
    <w:rsid w:val="00E90E34"/>
    <w:rsid w:val="00E90F87"/>
    <w:rsid w:val="00E94857"/>
    <w:rsid w:val="00E97EBB"/>
    <w:rsid w:val="00EA1D40"/>
    <w:rsid w:val="00EA29B3"/>
    <w:rsid w:val="00EA31B4"/>
    <w:rsid w:val="00EA3A0C"/>
    <w:rsid w:val="00EA4AA6"/>
    <w:rsid w:val="00EA63E5"/>
    <w:rsid w:val="00EA698F"/>
    <w:rsid w:val="00EB2C7C"/>
    <w:rsid w:val="00EB3955"/>
    <w:rsid w:val="00EB54E9"/>
    <w:rsid w:val="00EB6141"/>
    <w:rsid w:val="00EB64B6"/>
    <w:rsid w:val="00EC1A38"/>
    <w:rsid w:val="00EC3B38"/>
    <w:rsid w:val="00EC47EC"/>
    <w:rsid w:val="00EC5DD1"/>
    <w:rsid w:val="00EC7C1E"/>
    <w:rsid w:val="00ED2023"/>
    <w:rsid w:val="00ED305B"/>
    <w:rsid w:val="00ED58AA"/>
    <w:rsid w:val="00EE1288"/>
    <w:rsid w:val="00EE2F15"/>
    <w:rsid w:val="00EE460D"/>
    <w:rsid w:val="00EE566A"/>
    <w:rsid w:val="00EE6C6F"/>
    <w:rsid w:val="00F031AD"/>
    <w:rsid w:val="00F033BE"/>
    <w:rsid w:val="00F03E6D"/>
    <w:rsid w:val="00F041EF"/>
    <w:rsid w:val="00F050C0"/>
    <w:rsid w:val="00F131AA"/>
    <w:rsid w:val="00F17CCE"/>
    <w:rsid w:val="00F21D0A"/>
    <w:rsid w:val="00F22CE0"/>
    <w:rsid w:val="00F23B9F"/>
    <w:rsid w:val="00F25AC6"/>
    <w:rsid w:val="00F27476"/>
    <w:rsid w:val="00F27659"/>
    <w:rsid w:val="00F31F9F"/>
    <w:rsid w:val="00F3224B"/>
    <w:rsid w:val="00F33A68"/>
    <w:rsid w:val="00F3434A"/>
    <w:rsid w:val="00F346E4"/>
    <w:rsid w:val="00F35D4A"/>
    <w:rsid w:val="00F404E5"/>
    <w:rsid w:val="00F40AA4"/>
    <w:rsid w:val="00F414F7"/>
    <w:rsid w:val="00F41B6A"/>
    <w:rsid w:val="00F442EF"/>
    <w:rsid w:val="00F45FD2"/>
    <w:rsid w:val="00F464BB"/>
    <w:rsid w:val="00F472AA"/>
    <w:rsid w:val="00F5183D"/>
    <w:rsid w:val="00F5462F"/>
    <w:rsid w:val="00F552AF"/>
    <w:rsid w:val="00F55748"/>
    <w:rsid w:val="00F63438"/>
    <w:rsid w:val="00F72A31"/>
    <w:rsid w:val="00F7365D"/>
    <w:rsid w:val="00F758AB"/>
    <w:rsid w:val="00F75CED"/>
    <w:rsid w:val="00F7646D"/>
    <w:rsid w:val="00F81A46"/>
    <w:rsid w:val="00F81F50"/>
    <w:rsid w:val="00F912A7"/>
    <w:rsid w:val="00F91BE8"/>
    <w:rsid w:val="00F9279B"/>
    <w:rsid w:val="00F93F3D"/>
    <w:rsid w:val="00F9450F"/>
    <w:rsid w:val="00F94F70"/>
    <w:rsid w:val="00F95470"/>
    <w:rsid w:val="00FA0B2D"/>
    <w:rsid w:val="00FA2F3A"/>
    <w:rsid w:val="00FA308A"/>
    <w:rsid w:val="00FA31CB"/>
    <w:rsid w:val="00FA3641"/>
    <w:rsid w:val="00FA3DE7"/>
    <w:rsid w:val="00FA4594"/>
    <w:rsid w:val="00FA505D"/>
    <w:rsid w:val="00FA5B94"/>
    <w:rsid w:val="00FA6C61"/>
    <w:rsid w:val="00FA6CAD"/>
    <w:rsid w:val="00FA7388"/>
    <w:rsid w:val="00FB1823"/>
    <w:rsid w:val="00FB3DAB"/>
    <w:rsid w:val="00FB44FB"/>
    <w:rsid w:val="00FB5327"/>
    <w:rsid w:val="00FC004A"/>
    <w:rsid w:val="00FC09DB"/>
    <w:rsid w:val="00FC09DD"/>
    <w:rsid w:val="00FC2686"/>
    <w:rsid w:val="00FC5FDB"/>
    <w:rsid w:val="00FC63E8"/>
    <w:rsid w:val="00FC6726"/>
    <w:rsid w:val="00FC6D1E"/>
    <w:rsid w:val="00FD01C9"/>
    <w:rsid w:val="00FD0C3B"/>
    <w:rsid w:val="00FD50DD"/>
    <w:rsid w:val="00FD64B7"/>
    <w:rsid w:val="00FD6AE2"/>
    <w:rsid w:val="00FE078F"/>
    <w:rsid w:val="00FE2271"/>
    <w:rsid w:val="00FE45F4"/>
    <w:rsid w:val="00FE4B65"/>
    <w:rsid w:val="00FF11B4"/>
    <w:rsid w:val="00FF146C"/>
    <w:rsid w:val="00FF223D"/>
    <w:rsid w:val="016F7CEA"/>
    <w:rsid w:val="01CE3EDA"/>
    <w:rsid w:val="026D7FEB"/>
    <w:rsid w:val="03AB7F1A"/>
    <w:rsid w:val="04505D44"/>
    <w:rsid w:val="046A1534"/>
    <w:rsid w:val="059032C3"/>
    <w:rsid w:val="07FC5077"/>
    <w:rsid w:val="088C0D14"/>
    <w:rsid w:val="08D95D87"/>
    <w:rsid w:val="0A4A40E6"/>
    <w:rsid w:val="0E767353"/>
    <w:rsid w:val="0F5154FF"/>
    <w:rsid w:val="0F746D32"/>
    <w:rsid w:val="0FBC78AA"/>
    <w:rsid w:val="101A3FF9"/>
    <w:rsid w:val="10715117"/>
    <w:rsid w:val="114C2510"/>
    <w:rsid w:val="11FB7CB3"/>
    <w:rsid w:val="128550FF"/>
    <w:rsid w:val="14CF0E0B"/>
    <w:rsid w:val="15283883"/>
    <w:rsid w:val="15BC1F07"/>
    <w:rsid w:val="15D86A83"/>
    <w:rsid w:val="15FF17E2"/>
    <w:rsid w:val="164A3C03"/>
    <w:rsid w:val="174D770B"/>
    <w:rsid w:val="182320D8"/>
    <w:rsid w:val="19620159"/>
    <w:rsid w:val="1A0D4863"/>
    <w:rsid w:val="1B8F3C1B"/>
    <w:rsid w:val="1BCF6AA9"/>
    <w:rsid w:val="1D090C33"/>
    <w:rsid w:val="1EC9130E"/>
    <w:rsid w:val="1F3617C5"/>
    <w:rsid w:val="21915977"/>
    <w:rsid w:val="21C222AE"/>
    <w:rsid w:val="23806601"/>
    <w:rsid w:val="246842AC"/>
    <w:rsid w:val="246871BB"/>
    <w:rsid w:val="24B84E17"/>
    <w:rsid w:val="24C24307"/>
    <w:rsid w:val="24EF5B1E"/>
    <w:rsid w:val="25B172B8"/>
    <w:rsid w:val="27B9058E"/>
    <w:rsid w:val="29091E16"/>
    <w:rsid w:val="298C1F4C"/>
    <w:rsid w:val="2A9C7672"/>
    <w:rsid w:val="2B427C8D"/>
    <w:rsid w:val="2BB823FA"/>
    <w:rsid w:val="2C6F7512"/>
    <w:rsid w:val="2C7D750A"/>
    <w:rsid w:val="2CF61DB1"/>
    <w:rsid w:val="2E2D6135"/>
    <w:rsid w:val="2EFD0F36"/>
    <w:rsid w:val="2F2B2B5F"/>
    <w:rsid w:val="2F997863"/>
    <w:rsid w:val="310C02BC"/>
    <w:rsid w:val="31A71BAF"/>
    <w:rsid w:val="31D66A5C"/>
    <w:rsid w:val="3245119D"/>
    <w:rsid w:val="325860DA"/>
    <w:rsid w:val="335D12E9"/>
    <w:rsid w:val="34623C02"/>
    <w:rsid w:val="34B94BB5"/>
    <w:rsid w:val="359F5672"/>
    <w:rsid w:val="36854BB6"/>
    <w:rsid w:val="36C96765"/>
    <w:rsid w:val="372401A1"/>
    <w:rsid w:val="37981D8A"/>
    <w:rsid w:val="386F7973"/>
    <w:rsid w:val="38B61963"/>
    <w:rsid w:val="38D50EAF"/>
    <w:rsid w:val="3AF26EEA"/>
    <w:rsid w:val="3B1A4FB6"/>
    <w:rsid w:val="3B3A1D07"/>
    <w:rsid w:val="3C116B5D"/>
    <w:rsid w:val="3CCB3377"/>
    <w:rsid w:val="3D71576B"/>
    <w:rsid w:val="3E0A36A9"/>
    <w:rsid w:val="3F165970"/>
    <w:rsid w:val="429E1A85"/>
    <w:rsid w:val="447058B6"/>
    <w:rsid w:val="450D1305"/>
    <w:rsid w:val="455F3BB0"/>
    <w:rsid w:val="46A42895"/>
    <w:rsid w:val="46B12D2B"/>
    <w:rsid w:val="47AF30C8"/>
    <w:rsid w:val="47DA33B1"/>
    <w:rsid w:val="48DD0DA5"/>
    <w:rsid w:val="49D847BE"/>
    <w:rsid w:val="4C3520A7"/>
    <w:rsid w:val="4CEA12FC"/>
    <w:rsid w:val="4F70578C"/>
    <w:rsid w:val="4FBA1242"/>
    <w:rsid w:val="4FC162E5"/>
    <w:rsid w:val="50CE7585"/>
    <w:rsid w:val="50E34452"/>
    <w:rsid w:val="537050EA"/>
    <w:rsid w:val="549B1AF5"/>
    <w:rsid w:val="54C233BE"/>
    <w:rsid w:val="563F1F76"/>
    <w:rsid w:val="57705E45"/>
    <w:rsid w:val="58137C4E"/>
    <w:rsid w:val="582F0F72"/>
    <w:rsid w:val="58522377"/>
    <w:rsid w:val="59431DEA"/>
    <w:rsid w:val="59D75927"/>
    <w:rsid w:val="5A053695"/>
    <w:rsid w:val="5AC0555A"/>
    <w:rsid w:val="5ADC4B93"/>
    <w:rsid w:val="5B532923"/>
    <w:rsid w:val="5CFA4567"/>
    <w:rsid w:val="5D035830"/>
    <w:rsid w:val="5E652924"/>
    <w:rsid w:val="5E9F4D38"/>
    <w:rsid w:val="5F2C3297"/>
    <w:rsid w:val="5FCB6DC0"/>
    <w:rsid w:val="60EC73C4"/>
    <w:rsid w:val="60ED7794"/>
    <w:rsid w:val="625A4134"/>
    <w:rsid w:val="62760DE9"/>
    <w:rsid w:val="6391185C"/>
    <w:rsid w:val="64036CDD"/>
    <w:rsid w:val="64486CDF"/>
    <w:rsid w:val="64524A59"/>
    <w:rsid w:val="647E0594"/>
    <w:rsid w:val="64926529"/>
    <w:rsid w:val="64F26E50"/>
    <w:rsid w:val="650635BD"/>
    <w:rsid w:val="665135D1"/>
    <w:rsid w:val="66587CEC"/>
    <w:rsid w:val="66EE15AF"/>
    <w:rsid w:val="67594426"/>
    <w:rsid w:val="6763511C"/>
    <w:rsid w:val="680C046A"/>
    <w:rsid w:val="69C624C9"/>
    <w:rsid w:val="6A771108"/>
    <w:rsid w:val="6AEC625A"/>
    <w:rsid w:val="6BA736A0"/>
    <w:rsid w:val="6BE25425"/>
    <w:rsid w:val="6C9A70AB"/>
    <w:rsid w:val="6D023F9E"/>
    <w:rsid w:val="6D0D3FAF"/>
    <w:rsid w:val="6DCA2574"/>
    <w:rsid w:val="6E2776EA"/>
    <w:rsid w:val="6E4C654B"/>
    <w:rsid w:val="6E8D5EA6"/>
    <w:rsid w:val="6FA36C5C"/>
    <w:rsid w:val="6FB068BA"/>
    <w:rsid w:val="70C67E10"/>
    <w:rsid w:val="71682BA4"/>
    <w:rsid w:val="72390FD8"/>
    <w:rsid w:val="73E73859"/>
    <w:rsid w:val="747F67FA"/>
    <w:rsid w:val="755F03A1"/>
    <w:rsid w:val="75895C93"/>
    <w:rsid w:val="76FA33E1"/>
    <w:rsid w:val="783C2365"/>
    <w:rsid w:val="78F604C1"/>
    <w:rsid w:val="7A7134C2"/>
    <w:rsid w:val="7C3162A0"/>
    <w:rsid w:val="7DD04316"/>
    <w:rsid w:val="7DEF6897"/>
    <w:rsid w:val="7E3E21DA"/>
    <w:rsid w:val="7F250950"/>
    <w:rsid w:val="7F8D7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1"/>
    <w:unhideWhenUsed/>
    <w:qFormat/>
    <w:uiPriority w:val="0"/>
    <w:pPr>
      <w:jc w:val="left"/>
    </w:pPr>
  </w:style>
  <w:style w:type="paragraph" w:styleId="7">
    <w:name w:val="Body Text Indent"/>
    <w:basedOn w:val="1"/>
    <w:link w:val="44"/>
    <w:uiPriority w:val="0"/>
    <w:pPr>
      <w:spacing w:line="360" w:lineRule="auto"/>
      <w:ind w:firstLine="540"/>
    </w:p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rFonts w:ascii="Calibri" w:hAnsi="Calibri"/>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2">
    <w:name w:val="Normal (Web)"/>
    <w:basedOn w:val="1"/>
    <w:unhideWhenUsed/>
    <w:qFormat/>
    <w:uiPriority w:val="99"/>
    <w:pPr>
      <w:spacing w:beforeAutospacing="1" w:afterAutospacing="1"/>
      <w:jc w:val="left"/>
    </w:pPr>
    <w:rPr>
      <w:kern w:val="0"/>
      <w:sz w:val="24"/>
    </w:rPr>
  </w:style>
  <w:style w:type="paragraph" w:styleId="13">
    <w:name w:val="annotation subject"/>
    <w:basedOn w:val="6"/>
    <w:next w:val="6"/>
    <w:link w:val="18"/>
    <w:unhideWhenUsed/>
    <w:qFormat/>
    <w:uiPriority w:val="99"/>
    <w:rPr>
      <w:b/>
      <w:bCs/>
    </w:rPr>
  </w:style>
  <w:style w:type="table" w:styleId="15">
    <w:name w:val="Table Grid"/>
    <w:basedOn w:val="1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7">
    <w:name w:val="annotation reference"/>
    <w:unhideWhenUsed/>
    <w:qFormat/>
    <w:uiPriority w:val="99"/>
    <w:rPr>
      <w:sz w:val="21"/>
      <w:szCs w:val="21"/>
    </w:rPr>
  </w:style>
  <w:style w:type="character" w:customStyle="1" w:styleId="18">
    <w:name w:val="批注主题 Char"/>
    <w:link w:val="13"/>
    <w:semiHidden/>
    <w:qFormat/>
    <w:uiPriority w:val="99"/>
    <w:rPr>
      <w:b/>
      <w:bCs/>
      <w:kern w:val="2"/>
      <w:sz w:val="21"/>
      <w:szCs w:val="24"/>
    </w:rPr>
  </w:style>
  <w:style w:type="character" w:customStyle="1" w:styleId="19">
    <w:name w:val="段 Char"/>
    <w:link w:val="20"/>
    <w:qFormat/>
    <w:uiPriority w:val="0"/>
    <w:rPr>
      <w:rFonts w:ascii="宋体"/>
      <w:sz w:val="21"/>
      <w:lang w:val="en-US" w:eastAsia="zh-CN" w:bidi="ar-SA"/>
    </w:rPr>
  </w:style>
  <w:style w:type="paragraph" w:customStyle="1" w:styleId="20">
    <w:name w:val="段"/>
    <w:link w:val="1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
    <w:name w:val="批注文字 Char"/>
    <w:link w:val="6"/>
    <w:semiHidden/>
    <w:qFormat/>
    <w:uiPriority w:val="99"/>
    <w:rPr>
      <w:kern w:val="2"/>
      <w:sz w:val="21"/>
      <w:szCs w:val="24"/>
    </w:rPr>
  </w:style>
  <w:style w:type="character" w:customStyle="1" w:styleId="22">
    <w:name w:val="标题 2 Char"/>
    <w:link w:val="3"/>
    <w:qFormat/>
    <w:uiPriority w:val="9"/>
    <w:rPr>
      <w:rFonts w:ascii="等线 Light" w:hAnsi="等线 Light" w:eastAsia="等线 Light" w:cs="Times New Roman"/>
      <w:b/>
      <w:bCs/>
      <w:kern w:val="2"/>
      <w:sz w:val="32"/>
      <w:szCs w:val="32"/>
    </w:rPr>
  </w:style>
  <w:style w:type="character" w:customStyle="1" w:styleId="23">
    <w:name w:val="页脚 Char"/>
    <w:link w:val="9"/>
    <w:qFormat/>
    <w:uiPriority w:val="99"/>
    <w:rPr>
      <w:sz w:val="18"/>
      <w:szCs w:val="18"/>
    </w:rPr>
  </w:style>
  <w:style w:type="character" w:customStyle="1" w:styleId="24">
    <w:name w:val="批注框文本 Char"/>
    <w:link w:val="8"/>
    <w:semiHidden/>
    <w:qFormat/>
    <w:uiPriority w:val="99"/>
    <w:rPr>
      <w:rFonts w:ascii="Times New Roman" w:hAnsi="Times New Roman" w:eastAsia="宋体" w:cs="Times New Roman"/>
      <w:sz w:val="18"/>
      <w:szCs w:val="18"/>
    </w:rPr>
  </w:style>
  <w:style w:type="character" w:customStyle="1" w:styleId="25">
    <w:name w:val="标题 1 Char"/>
    <w:link w:val="2"/>
    <w:qFormat/>
    <w:uiPriority w:val="0"/>
    <w:rPr>
      <w:b/>
      <w:bCs/>
      <w:kern w:val="44"/>
      <w:sz w:val="44"/>
      <w:szCs w:val="44"/>
    </w:rPr>
  </w:style>
  <w:style w:type="character" w:customStyle="1" w:styleId="26">
    <w:name w:val="页眉 Char"/>
    <w:link w:val="10"/>
    <w:qFormat/>
    <w:uiPriority w:val="99"/>
    <w:rPr>
      <w:sz w:val="18"/>
      <w:szCs w:val="18"/>
    </w:rPr>
  </w:style>
  <w:style w:type="character" w:customStyle="1" w:styleId="27">
    <w:name w:val="列表段落 字符"/>
    <w:link w:val="28"/>
    <w:qFormat/>
    <w:uiPriority w:val="34"/>
    <w:rPr>
      <w:rFonts w:ascii="Times New Roman" w:hAnsi="Times New Roman"/>
      <w:kern w:val="2"/>
      <w:sz w:val="21"/>
      <w:szCs w:val="24"/>
    </w:rPr>
  </w:style>
  <w:style w:type="paragraph" w:customStyle="1" w:styleId="28">
    <w:name w:val="_Style 27"/>
    <w:basedOn w:val="1"/>
    <w:next w:val="29"/>
    <w:link w:val="27"/>
    <w:qFormat/>
    <w:uiPriority w:val="34"/>
    <w:pPr>
      <w:ind w:firstLine="420" w:firstLineChars="200"/>
    </w:pPr>
  </w:style>
  <w:style w:type="paragraph" w:customStyle="1" w:styleId="29">
    <w:name w:val="列出段落1"/>
    <w:basedOn w:val="1"/>
    <w:qFormat/>
    <w:uiPriority w:val="34"/>
    <w:pPr>
      <w:ind w:firstLine="420" w:firstLineChars="200"/>
    </w:pPr>
  </w:style>
  <w:style w:type="paragraph" w:customStyle="1" w:styleId="30">
    <w:name w:val="五级条标题"/>
    <w:basedOn w:val="31"/>
    <w:next w:val="20"/>
    <w:qFormat/>
    <w:uiPriority w:val="99"/>
    <w:pPr>
      <w:numPr>
        <w:ilvl w:val="5"/>
      </w:numPr>
      <w:outlineLvl w:val="6"/>
    </w:pPr>
  </w:style>
  <w:style w:type="paragraph" w:customStyle="1" w:styleId="31">
    <w:name w:val="四级条标题"/>
    <w:basedOn w:val="32"/>
    <w:next w:val="20"/>
    <w:qFormat/>
    <w:uiPriority w:val="99"/>
    <w:pPr>
      <w:numPr>
        <w:ilvl w:val="4"/>
      </w:numPr>
      <w:outlineLvl w:val="5"/>
    </w:pPr>
  </w:style>
  <w:style w:type="paragraph" w:customStyle="1" w:styleId="32">
    <w:name w:val="三级条标题"/>
    <w:basedOn w:val="33"/>
    <w:next w:val="20"/>
    <w:qFormat/>
    <w:uiPriority w:val="99"/>
    <w:pPr>
      <w:numPr>
        <w:ilvl w:val="3"/>
      </w:numPr>
      <w:outlineLvl w:val="4"/>
    </w:pPr>
  </w:style>
  <w:style w:type="paragraph" w:customStyle="1" w:styleId="33">
    <w:name w:val="二级条标题"/>
    <w:basedOn w:val="34"/>
    <w:next w:val="20"/>
    <w:qFormat/>
    <w:uiPriority w:val="99"/>
    <w:pPr>
      <w:numPr>
        <w:ilvl w:val="2"/>
      </w:numPr>
      <w:spacing w:before="50" w:after="50"/>
      <w:outlineLvl w:val="3"/>
    </w:pPr>
  </w:style>
  <w:style w:type="paragraph" w:customStyle="1" w:styleId="34">
    <w:name w:val="一级条标题"/>
    <w:next w:val="20"/>
    <w:qFormat/>
    <w:uiPriority w:val="99"/>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5">
    <w:name w:val="列项●（二级）"/>
    <w:qFormat/>
    <w:uiPriority w:val="0"/>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36">
    <w:name w:val="正文图标题"/>
    <w:next w:val="20"/>
    <w:qFormat/>
    <w:uiPriority w:val="0"/>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37">
    <w:name w:val="_Style 26"/>
    <w:basedOn w:val="1"/>
    <w:next w:val="29"/>
    <w:qFormat/>
    <w:uiPriority w:val="34"/>
    <w:pPr>
      <w:ind w:firstLine="420" w:firstLineChars="200"/>
    </w:pPr>
  </w:style>
  <w:style w:type="paragraph" w:customStyle="1" w:styleId="38">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39">
    <w:name w:val="章标题"/>
    <w:next w:val="20"/>
    <w:qFormat/>
    <w:uiPriority w:val="99"/>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40">
    <w:name w:val="列项◆（三级）"/>
    <w:basedOn w:val="1"/>
    <w:qFormat/>
    <w:uiPriority w:val="0"/>
    <w:pPr>
      <w:numPr>
        <w:ilvl w:val="2"/>
        <w:numId w:val="2"/>
      </w:numPr>
    </w:pPr>
    <w:rPr>
      <w:rFonts w:ascii="宋体"/>
      <w:szCs w:val="21"/>
    </w:rPr>
  </w:style>
  <w:style w:type="paragraph" w:customStyle="1" w:styleId="41">
    <w:name w:val="数字编号列项"/>
    <w:basedOn w:val="1"/>
    <w:qFormat/>
    <w:uiPriority w:val="0"/>
    <w:pPr>
      <w:tabs>
        <w:tab w:val="left" w:pos="840"/>
      </w:tabs>
      <w:ind w:left="840" w:hanging="420"/>
    </w:pPr>
  </w:style>
  <w:style w:type="paragraph" w:customStyle="1" w:styleId="4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4">
    <w:name w:val="正文文本缩进 Char"/>
    <w:link w:val="7"/>
    <w:qFormat/>
    <w:uiPriority w:val="0"/>
    <w:rPr>
      <w:kern w:val="2"/>
      <w:sz w:val="21"/>
      <w:szCs w:val="24"/>
    </w:rPr>
  </w:style>
  <w:style w:type="character" w:customStyle="1" w:styleId="45">
    <w:name w:val="批注文字 字符"/>
    <w:qFormat/>
    <w:uiPriority w:val="0"/>
    <w:rPr>
      <w:kern w:val="2"/>
      <w:sz w:val="21"/>
      <w:szCs w:val="24"/>
    </w:rPr>
  </w:style>
  <w:style w:type="table" w:customStyle="1" w:styleId="46">
    <w:name w:val="Grid Table 1 Light"/>
    <w:basedOn w:val="14"/>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1217</Words>
  <Characters>6943</Characters>
  <Lines>57</Lines>
  <Paragraphs>16</Paragraphs>
  <TotalTime>2</TotalTime>
  <ScaleCrop>false</ScaleCrop>
  <LinksUpToDate>false</LinksUpToDate>
  <CharactersWithSpaces>8144</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2022-04-16T11:32:00Z</dcterms:created>
  <dc:creator>张英男</dc:creator>
  <cp:lastModifiedBy>李云伟</cp:lastModifiedBy>
  <cp:lastPrinted>2022-04-27T06:40:00Z</cp:lastPrinted>
  <dcterms:modified xsi:type="dcterms:W3CDTF">2022-04-29T10:22:20Z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