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43.040.60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T 26</w:t>
            </w:r>
            <w:r>
              <w:rPr>
                <w:rFonts w:ascii="黑体" w:hAnsi="黑体" w:eastAsia="黑体"/>
                <w:sz w:val="21"/>
                <w:szCs w:val="21"/>
              </w:rPr>
              <w:fldChar w:fldCharType="end"/>
            </w:r>
            <w:bookmarkEnd w:id="1"/>
          </w:p>
        </w:tc>
      </w:tr>
    </w:tbl>
    <w:p>
      <w:pPr>
        <w:pStyle w:val="53"/>
        <w:framePr w:w="9639" w:h="624" w:hRule="exact" w:hSpace="181" w:vSpace="181" w:wrap="around" w:hAnchor="page" w:x="1305" w:y="2269"/>
      </w:pPr>
      <w:bookmarkStart w:id="2" w:name="_Hlk26473981"/>
      <w:r>
        <w:rPr>
          <w:rFonts w:hint="eastAsia"/>
        </w:rPr>
        <w:t>中华人民共和国国家标准</w:t>
      </w:r>
    </w:p>
    <w:bookmarkEnd w:id="2"/>
    <w:p>
      <w:pPr>
        <w:pStyle w:val="198"/>
        <w:framePr/>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t>14167</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pPr>
        <w:pStyle w:val="199"/>
        <w:framePr/>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代替 GB</w:t>
      </w:r>
      <w:r>
        <w:rPr>
          <w:rFonts w:hint="eastAsia" w:hAnsi="黑体"/>
        </w:rPr>
        <w:t xml:space="preserve"> 14167-2013</w:t>
      </w:r>
      <w:r>
        <w:rPr>
          <w:rFonts w:hAnsi="黑体"/>
        </w:rPr>
        <w:fldChar w:fldCharType="end"/>
      </w:r>
      <w:bookmarkEnd w:id="6"/>
    </w:p>
    <w:p>
      <w:pPr>
        <w:spacing w:line="240" w:lineRule="auto"/>
        <w:ind w:left="8080"/>
        <w:rPr>
          <w:rFonts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59264"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47200" cy="732960"/>
                    </a:xfrm>
                    <a:prstGeom prst="rect">
                      <a:avLst/>
                    </a:prstGeom>
                    <a:noFill/>
                    <a:ln>
                      <a:noFill/>
                    </a:ln>
                  </pic:spPr>
                </pic:pic>
              </a:graphicData>
            </a:graphic>
          </wp:anchor>
        </w:drawing>
      </w:r>
    </w:p>
    <w:p>
      <w:pPr>
        <w:pStyle w:val="53"/>
        <w:framePr w:w="9639" w:h="6976" w:hRule="exact" w:hSpace="0" w:vSpace="0" w:wrap="around" w:hAnchor="page" w:y="6408"/>
        <w:jc w:val="center"/>
        <w:rPr>
          <w:rFonts w:ascii="黑体" w:hAnsi="黑体" w:eastAsia="黑体"/>
          <w:b w:val="0"/>
          <w:bCs w:val="0"/>
          <w:w w:val="100"/>
        </w:rPr>
      </w:pPr>
    </w:p>
    <w:p>
      <w:pPr>
        <w:pStyle w:val="200"/>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机动车乘员用安全带和约束系统</w:t>
      </w:r>
    </w:p>
    <w:p>
      <w:pPr>
        <w:pStyle w:val="200"/>
        <w:framePr w:h="6974" w:hRule="exact" w:wrap="around" w:x="1419" w:anchorLock="1"/>
      </w:pPr>
      <w:r>
        <w:rPr>
          <w:rFonts w:hint="eastAsia"/>
        </w:rPr>
        <w:t>安装固定点</w:t>
      </w:r>
      <w:r>
        <w:fldChar w:fldCharType="end"/>
      </w:r>
      <w:bookmarkEnd w:id="7"/>
    </w:p>
    <w:p>
      <w:pPr>
        <w:framePr w:w="9639" w:h="6974" w:hRule="exact" w:wrap="around" w:vAnchor="page" w:hAnchor="page" w:x="1419" w:y="6408" w:anchorLock="1"/>
        <w:ind w:left="-1418"/>
      </w:pPr>
    </w:p>
    <w:p>
      <w:pPr>
        <w:pStyle w:val="12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Safety-belt anchorages, Restraint systems anchorages for occupants</w:t>
      </w:r>
    </w:p>
    <w:p>
      <w:pPr>
        <w:pStyle w:val="128"/>
        <w:framePr w:w="9639" w:h="6974" w:hRule="exact" w:wrap="around" w:vAnchor="page" w:hAnchor="page" w:x="1419" w:y="6408" w:anchorLock="1"/>
        <w:textAlignment w:val="bottom"/>
        <w:rPr>
          <w:rFonts w:eastAsia="黑体"/>
          <w:szCs w:val="28"/>
        </w:rPr>
      </w:pPr>
      <w:r>
        <w:rPr>
          <w:rFonts w:eastAsia="黑体"/>
          <w:szCs w:val="28"/>
        </w:rPr>
        <w:t xml:space="preserve"> of power-driven vehicles</w:t>
      </w:r>
      <w:r>
        <w:rPr>
          <w:rFonts w:eastAsia="黑体"/>
          <w:szCs w:val="28"/>
        </w:rPr>
        <w:fldChar w:fldCharType="end"/>
      </w:r>
      <w:bookmarkEnd w:id="8"/>
    </w:p>
    <w:p>
      <w:pPr>
        <w:framePr w:w="9639" w:h="6974" w:hRule="exact" w:wrap="around" w:vAnchor="page" w:hAnchor="page" w:x="1419" w:y="6408" w:anchorLock="1"/>
        <w:spacing w:line="760" w:lineRule="exact"/>
        <w:ind w:left="-1418"/>
      </w:pPr>
    </w:p>
    <w:p>
      <w:pPr>
        <w:pStyle w:val="128"/>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9"/>
    </w:p>
    <w:p>
      <w:pPr>
        <w:pStyle w:val="12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pPr>
        <w:pStyle w:val="196"/>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pPr>
        <w:pStyle w:val="197"/>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94"/>
        <w:spacing w:after="468"/>
      </w:pPr>
      <w:bookmarkStart w:id="18" w:name="BookMark1"/>
      <w:bookmarkStart w:id="19" w:name="_Toc78142659"/>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"_Toc96705332" </w:instrText>
      </w:r>
      <w:r>
        <w:fldChar w:fldCharType="separate"/>
      </w:r>
      <w:r>
        <w:rPr>
          <w:rStyle w:val="34"/>
          <w:rFonts w:hint="eastAsia"/>
          <w:spacing w:val="320"/>
        </w:rPr>
        <w:t>前</w:t>
      </w:r>
      <w:r>
        <w:rPr>
          <w:rStyle w:val="34"/>
          <w:rFonts w:hint="eastAsia"/>
        </w:rPr>
        <w:t>言</w:t>
      </w:r>
      <w:r>
        <w:tab/>
      </w:r>
      <w:r>
        <w:fldChar w:fldCharType="begin"/>
      </w:r>
      <w:r>
        <w:instrText xml:space="preserve"> PAGEREF _Toc96705332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"_Toc96705333" </w:instrText>
      </w:r>
      <w:r>
        <w:fldChar w:fldCharType="separate"/>
      </w:r>
      <w:r>
        <w:rPr>
          <w:rStyle w:val="34"/>
        </w:rPr>
        <w:t>1</w:t>
      </w:r>
      <w:r>
        <w:rPr>
          <w:rStyle w:val="34"/>
          <w:rFonts w:hint="eastAsia"/>
        </w:rPr>
        <w:t xml:space="preserve"> 范围</w:t>
      </w:r>
      <w:r>
        <w:tab/>
      </w:r>
      <w:r>
        <w:fldChar w:fldCharType="begin"/>
      </w:r>
      <w:r>
        <w:instrText xml:space="preserve"> PAGEREF _Toc96705333 \h </w:instrText>
      </w:r>
      <w:r>
        <w:fldChar w:fldCharType="separate"/>
      </w:r>
      <w:r>
        <w:t>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"_Toc96705334" </w:instrText>
      </w:r>
      <w:r>
        <w:fldChar w:fldCharType="separate"/>
      </w:r>
      <w:r>
        <w:rPr>
          <w:rStyle w:val="34"/>
        </w:rPr>
        <w:t>2</w:t>
      </w:r>
      <w:r>
        <w:rPr>
          <w:rStyle w:val="34"/>
          <w:rFonts w:hint="eastAsia"/>
        </w:rPr>
        <w:t xml:space="preserve"> 规范性引用文件</w:t>
      </w:r>
      <w:r>
        <w:tab/>
      </w:r>
      <w:r>
        <w:fldChar w:fldCharType="begin"/>
      </w:r>
      <w:r>
        <w:instrText xml:space="preserve"> PAGEREF _Toc96705334 \h </w:instrText>
      </w:r>
      <w:r>
        <w:fldChar w:fldCharType="separate"/>
      </w:r>
      <w:r>
        <w:t>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"_Toc96705335" </w:instrText>
      </w:r>
      <w:r>
        <w:fldChar w:fldCharType="separate"/>
      </w:r>
      <w:r>
        <w:rPr>
          <w:rStyle w:val="34"/>
        </w:rPr>
        <w:t>3</w:t>
      </w:r>
      <w:r>
        <w:rPr>
          <w:rStyle w:val="34"/>
          <w:rFonts w:hint="eastAsia"/>
        </w:rPr>
        <w:t xml:space="preserve"> 术语和定义</w:t>
      </w:r>
      <w:r>
        <w:tab/>
      </w:r>
      <w:r>
        <w:fldChar w:fldCharType="begin"/>
      </w:r>
      <w:r>
        <w:instrText xml:space="preserve"> PAGEREF _Toc96705335 \h </w:instrText>
      </w:r>
      <w:r>
        <w:fldChar w:fldCharType="separate"/>
      </w:r>
      <w:r>
        <w:t>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"_Toc96705336" </w:instrText>
      </w:r>
      <w:r>
        <w:fldChar w:fldCharType="separate"/>
      </w:r>
      <w:r>
        <w:rPr>
          <w:rStyle w:val="34"/>
        </w:rPr>
        <w:t>4</w:t>
      </w:r>
      <w:r>
        <w:rPr>
          <w:rStyle w:val="34"/>
          <w:rFonts w:hint="eastAsia"/>
        </w:rPr>
        <w:t xml:space="preserve"> 技术要求</w:t>
      </w:r>
      <w:r>
        <w:tab/>
      </w:r>
      <w:r>
        <w:fldChar w:fldCharType="begin"/>
      </w:r>
      <w:r>
        <w:instrText xml:space="preserve"> PAGEREF _Toc96705336 \h </w:instrText>
      </w:r>
      <w:r>
        <w:fldChar w:fldCharType="separate"/>
      </w:r>
      <w:r>
        <w:t>7</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"_Toc96705337" </w:instrText>
      </w:r>
      <w:r>
        <w:fldChar w:fldCharType="separate"/>
      </w:r>
      <w:r>
        <w:rPr>
          <w:rStyle w:val="34"/>
        </w:rPr>
        <w:t>5</w:t>
      </w:r>
      <w:r>
        <w:rPr>
          <w:rStyle w:val="34"/>
          <w:rFonts w:hint="eastAsia"/>
        </w:rPr>
        <w:t xml:space="preserve"> 试验方法</w:t>
      </w:r>
      <w:r>
        <w:tab/>
      </w:r>
      <w:r>
        <w:fldChar w:fldCharType="begin"/>
      </w:r>
      <w:r>
        <w:instrText xml:space="preserve"> PAGEREF _Toc96705337 \h </w:instrText>
      </w:r>
      <w:r>
        <w:fldChar w:fldCharType="separate"/>
      </w:r>
      <w:r>
        <w:t>14</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"_Toc96705338" </w:instrText>
      </w:r>
      <w:r>
        <w:fldChar w:fldCharType="separate"/>
      </w:r>
      <w:r>
        <w:rPr>
          <w:rStyle w:val="34"/>
        </w:rPr>
        <w:t>6</w:t>
      </w:r>
      <w:r>
        <w:rPr>
          <w:rStyle w:val="34"/>
          <w:rFonts w:hint="eastAsia"/>
        </w:rPr>
        <w:t xml:space="preserve"> 标准实施日期</w:t>
      </w:r>
      <w:r>
        <w:tab/>
      </w:r>
      <w:r>
        <w:fldChar w:fldCharType="begin"/>
      </w:r>
      <w:r>
        <w:instrText xml:space="preserve"> PAGEREF _Toc96705338 \h </w:instrText>
      </w:r>
      <w:r>
        <w:fldChar w:fldCharType="separate"/>
      </w:r>
      <w:r>
        <w:t>18</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"_Toc96705339" </w:instrText>
      </w:r>
      <w:r>
        <w:fldChar w:fldCharType="separate"/>
      </w:r>
      <w:r>
        <w:rPr>
          <w:rStyle w:val="34"/>
          <w:rFonts w:hint="eastAsia"/>
          <w:spacing w:val="100"/>
        </w:rPr>
        <w:t>附录A</w:t>
      </w:r>
      <w:r>
        <w:rPr>
          <w:rStyle w:val="34"/>
          <w:rFonts w:hint="eastAsia"/>
        </w:rPr>
        <w:t xml:space="preserve"> （规范性）</w:t>
      </w:r>
      <w:r>
        <w:rPr>
          <w:rStyle w:val="34"/>
        </w:rPr>
        <w:t xml:space="preserve"> ISOFIX</w:t>
      </w:r>
      <w:r>
        <w:rPr>
          <w:rStyle w:val="34"/>
          <w:rFonts w:hint="eastAsia"/>
        </w:rPr>
        <w:t>固定点系统及</w:t>
      </w:r>
      <w:r>
        <w:rPr>
          <w:rStyle w:val="34"/>
        </w:rPr>
        <w:t>ISOFIX</w:t>
      </w:r>
      <w:r>
        <w:rPr>
          <w:rStyle w:val="34"/>
          <w:rFonts w:hint="eastAsia"/>
        </w:rPr>
        <w:t>上拉带固定点</w:t>
      </w:r>
      <w:r>
        <w:tab/>
      </w:r>
      <w:r>
        <w:fldChar w:fldCharType="begin"/>
      </w:r>
      <w:r>
        <w:instrText xml:space="preserve"> PAGEREF _Toc96705339 \h </w:instrText>
      </w:r>
      <w:r>
        <w:fldChar w:fldCharType="separate"/>
      </w:r>
      <w:r>
        <w:t>19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"_Toc96705340" </w:instrText>
      </w:r>
      <w:r>
        <w:fldChar w:fldCharType="separate"/>
      </w:r>
      <w:r>
        <w:rPr>
          <w:rStyle w:val="34"/>
          <w:rFonts w:hint="eastAsia"/>
          <w:spacing w:val="100"/>
        </w:rPr>
        <w:t>附录B</w:t>
      </w:r>
      <w:r>
        <w:rPr>
          <w:rStyle w:val="34"/>
          <w:rFonts w:hint="eastAsia"/>
        </w:rPr>
        <w:t xml:space="preserve"> （规范性）</w:t>
      </w:r>
      <w:r>
        <w:rPr>
          <w:rStyle w:val="34"/>
        </w:rPr>
        <w:t xml:space="preserve"> </w:t>
      </w:r>
      <w:r>
        <w:rPr>
          <w:rStyle w:val="34"/>
          <w:rFonts w:hint="eastAsia"/>
        </w:rPr>
        <w:t>固定点最低数量和下固定点位置</w:t>
      </w:r>
      <w:r>
        <w:tab/>
      </w:r>
      <w:r>
        <w:fldChar w:fldCharType="begin"/>
      </w:r>
      <w:r>
        <w:instrText xml:space="preserve"> PAGEREF _Toc96705340 \h </w:instrText>
      </w:r>
      <w:r>
        <w:fldChar w:fldCharType="separate"/>
      </w:r>
      <w:r>
        <w:t>30</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"_Toc96705341" </w:instrText>
      </w:r>
      <w:r>
        <w:fldChar w:fldCharType="separate"/>
      </w:r>
      <w:r>
        <w:rPr>
          <w:rStyle w:val="34"/>
          <w:rFonts w:hint="eastAsia"/>
          <w:spacing w:val="100"/>
        </w:rPr>
        <w:t>附录C</w:t>
      </w:r>
      <w:r>
        <w:rPr>
          <w:rStyle w:val="34"/>
          <w:rFonts w:hint="eastAsia"/>
        </w:rPr>
        <w:t xml:space="preserve"> （规范性）</w:t>
      </w:r>
      <w:r>
        <w:rPr>
          <w:rStyle w:val="34"/>
        </w:rPr>
        <w:t xml:space="preserve"> </w:t>
      </w:r>
      <w:r>
        <w:rPr>
          <w:rStyle w:val="34"/>
          <w:rFonts w:hint="eastAsia"/>
        </w:rPr>
        <w:t>有效固定点的位置</w:t>
      </w:r>
      <w:r>
        <w:tab/>
      </w:r>
      <w:r>
        <w:fldChar w:fldCharType="begin"/>
      </w:r>
      <w:r>
        <w:instrText xml:space="preserve"> PAGEREF _Toc96705341 \h </w:instrText>
      </w:r>
      <w:r>
        <w:fldChar w:fldCharType="separate"/>
      </w:r>
      <w:r>
        <w:t>31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"_Toc96705342" </w:instrText>
      </w:r>
      <w:r>
        <w:fldChar w:fldCharType="separate"/>
      </w:r>
      <w:r>
        <w:rPr>
          <w:rStyle w:val="34"/>
          <w:rFonts w:hint="eastAsia"/>
          <w:spacing w:val="100"/>
        </w:rPr>
        <w:t>附录D</w:t>
      </w:r>
      <w:r>
        <w:rPr>
          <w:rStyle w:val="34"/>
          <w:rFonts w:hint="eastAsia"/>
        </w:rPr>
        <w:t xml:space="preserve"> （规范性）</w:t>
      </w:r>
      <w:r>
        <w:rPr>
          <w:rStyle w:val="34"/>
        </w:rPr>
        <w:t xml:space="preserve"> </w:t>
      </w:r>
      <w:r>
        <w:rPr>
          <w:rStyle w:val="34"/>
          <w:rFonts w:hint="eastAsia"/>
        </w:rPr>
        <w:t>人体模块示意图</w:t>
      </w:r>
      <w:r>
        <w:tab/>
      </w:r>
      <w:r>
        <w:fldChar w:fldCharType="begin"/>
      </w:r>
      <w:r>
        <w:instrText xml:space="preserve"> PAGEREF _Toc96705342 \h </w:instrText>
      </w:r>
      <w:r>
        <w:fldChar w:fldCharType="separate"/>
      </w:r>
      <w:r>
        <w:t>33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"_Toc96705343" </w:instrText>
      </w:r>
      <w:r>
        <w:fldChar w:fldCharType="separate"/>
      </w:r>
      <w:r>
        <w:rPr>
          <w:rStyle w:val="34"/>
          <w:rFonts w:hint="eastAsia"/>
          <w:spacing w:val="100"/>
        </w:rPr>
        <w:t>附录E</w:t>
      </w:r>
      <w:r>
        <w:rPr>
          <w:rStyle w:val="34"/>
          <w:rFonts w:hint="eastAsia"/>
        </w:rPr>
        <w:t xml:space="preserve"> （规范性）</w:t>
      </w:r>
      <w:r>
        <w:rPr>
          <w:rStyle w:val="34"/>
        </w:rPr>
        <w:t xml:space="preserve"> </w:t>
      </w:r>
      <w:r>
        <w:rPr>
          <w:rStyle w:val="34"/>
          <w:rFonts w:hint="eastAsia"/>
        </w:rPr>
        <w:t>动态试验——静态试验的替代试验</w:t>
      </w:r>
      <w:r>
        <w:tab/>
      </w:r>
      <w:r>
        <w:fldChar w:fldCharType="begin"/>
      </w:r>
      <w:r>
        <w:instrText xml:space="preserve"> PAGEREF _Toc96705343 \h </w:instrText>
      </w:r>
      <w:r>
        <w:fldChar w:fldCharType="separate"/>
      </w:r>
      <w:r>
        <w:t>35</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"_Toc96705344" </w:instrText>
      </w:r>
      <w:r>
        <w:fldChar w:fldCharType="separate"/>
      </w:r>
      <w:r>
        <w:rPr>
          <w:rStyle w:val="34"/>
          <w:rFonts w:hint="eastAsia"/>
          <w:spacing w:val="100"/>
        </w:rPr>
        <w:t>附录F</w:t>
      </w:r>
      <w:r>
        <w:rPr>
          <w:rStyle w:val="34"/>
          <w:rFonts w:hint="eastAsia"/>
        </w:rPr>
        <w:t xml:space="preserve"> （规范性）</w:t>
      </w:r>
      <w:r>
        <w:rPr>
          <w:rStyle w:val="34"/>
        </w:rPr>
        <w:t xml:space="preserve"> </w:t>
      </w:r>
      <w:r>
        <w:rPr>
          <w:rStyle w:val="34"/>
          <w:rFonts w:hint="eastAsia"/>
        </w:rPr>
        <w:t>假人规格</w:t>
      </w:r>
      <w:r>
        <w:tab/>
      </w:r>
      <w:r>
        <w:fldChar w:fldCharType="begin"/>
      </w:r>
      <w:r>
        <w:instrText xml:space="preserve"> PAGEREF _Toc96705344 \h </w:instrText>
      </w:r>
      <w:r>
        <w:fldChar w:fldCharType="separate"/>
      </w:r>
      <w:r>
        <w:t>37</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"_Toc96705345" </w:instrText>
      </w:r>
      <w:r>
        <w:fldChar w:fldCharType="separate"/>
      </w:r>
      <w:r>
        <w:rPr>
          <w:rStyle w:val="34"/>
          <w:rFonts w:hint="eastAsia"/>
          <w:spacing w:val="100"/>
        </w:rPr>
        <w:t>附录G</w:t>
      </w:r>
      <w:r>
        <w:rPr>
          <w:rStyle w:val="34"/>
          <w:rFonts w:hint="eastAsia"/>
        </w:rPr>
        <w:t xml:space="preserve"> （规范性）</w:t>
      </w:r>
      <w:r>
        <w:rPr>
          <w:rStyle w:val="34"/>
        </w:rPr>
        <w:t xml:space="preserve"> i-Size</w:t>
      </w:r>
      <w:r>
        <w:rPr>
          <w:rStyle w:val="34"/>
          <w:rFonts w:hint="eastAsia"/>
        </w:rPr>
        <w:t>乘坐位置</w:t>
      </w:r>
      <w:r>
        <w:tab/>
      </w:r>
      <w:r>
        <w:fldChar w:fldCharType="begin"/>
      </w:r>
      <w:r>
        <w:instrText xml:space="preserve"> PAGEREF _Toc96705345 \h </w:instrText>
      </w:r>
      <w:r>
        <w:fldChar w:fldCharType="separate"/>
      </w:r>
      <w:r>
        <w:t>38</w:t>
      </w:r>
      <w:r>
        <w:fldChar w:fldCharType="end"/>
      </w:r>
      <w:r>
        <w:fldChar w:fldCharType="end"/>
      </w:r>
    </w:p>
    <w:p>
      <w:pPr>
        <w:pStyle w:val="94"/>
        <w:spacing w:after="468"/>
        <w:sectPr>
          <w:headerReference r:id="rId9" w:type="default"/>
          <w:footerReference r:id="rId11" w:type="default"/>
          <w:headerReference r:id="rId10"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18"/>
    <w:p>
      <w:pPr>
        <w:pStyle w:val="92"/>
        <w:spacing w:after="468"/>
      </w:pPr>
      <w:bookmarkStart w:id="20" w:name="_Toc96705332"/>
      <w:bookmarkStart w:id="21" w:name="BookMark2"/>
      <w:r>
        <w:rPr>
          <w:spacing w:val="320"/>
        </w:rPr>
        <w:t>前</w:t>
      </w:r>
      <w:r>
        <w:t>言</w:t>
      </w:r>
      <w:bookmarkEnd w:id="19"/>
      <w:bookmarkEnd w:id="20"/>
    </w:p>
    <w:p>
      <w:pPr>
        <w:pStyle w:val="59"/>
        <w:ind w:firstLine="420"/>
      </w:pPr>
      <w:r>
        <w:rPr>
          <w:rFonts w:hint="eastAsia"/>
        </w:rPr>
        <w:t>本文件按照GB/T 1.1—2020《标准化工作导则  第1部分：标准化文件的结构和起草规则》的规定起草。</w:t>
      </w:r>
    </w:p>
    <w:p>
      <w:pPr>
        <w:pStyle w:val="232"/>
      </w:pPr>
      <w:r>
        <w:rPr>
          <w:rFonts w:hint="eastAsia"/>
        </w:rPr>
        <w:t>本文件代替GB 14167－2013《汽车安全带安装固定点、ISOFIX固定点系统及上拉带固定点》，与GB 14167－2013</w:t>
      </w:r>
      <w:r>
        <w:t>相比</w:t>
      </w:r>
      <w:r>
        <w:rPr>
          <w:rFonts w:hint="eastAsia"/>
        </w:rPr>
        <w:t>，</w:t>
      </w:r>
      <w:r>
        <w:t>除结构调整和编辑性改动外</w:t>
      </w:r>
      <w:r>
        <w:rPr>
          <w:rFonts w:hint="eastAsia"/>
        </w:rPr>
        <w:t>，</w:t>
      </w:r>
      <w:r>
        <w:t>主要技术变化如下</w:t>
      </w:r>
      <w:r>
        <w:rPr>
          <w:rFonts w:hint="eastAsia"/>
        </w:rPr>
        <w:t>：</w:t>
      </w:r>
    </w:p>
    <w:p>
      <w:pPr>
        <w:pStyle w:val="232"/>
      </w:pPr>
      <w:r>
        <w:rPr>
          <w:rFonts w:hint="eastAsia"/>
        </w:rPr>
        <w:t>——更改了“范围”（见第1章）</w:t>
      </w:r>
    </w:p>
    <w:p>
      <w:pPr>
        <w:pStyle w:val="232"/>
      </w:pPr>
      <w:r>
        <w:rPr>
          <w:rFonts w:hint="eastAsia"/>
        </w:rPr>
        <w:t>——增加了对i-Size乘坐位置的要求（见4.1）</w:t>
      </w:r>
    </w:p>
    <w:p>
      <w:pPr>
        <w:pStyle w:val="232"/>
      </w:pPr>
      <w:r>
        <w:rPr>
          <w:rFonts w:hint="eastAsia"/>
        </w:rPr>
        <w:t>——更改了ISOFIX位置的最低数量要求（见4.2）</w:t>
      </w:r>
    </w:p>
    <w:p>
      <w:pPr>
        <w:pStyle w:val="232"/>
      </w:pPr>
      <w:r>
        <w:rPr>
          <w:rFonts w:hint="eastAsia"/>
        </w:rPr>
        <w:t>——增加了侧向座椅安全带两个下固定点的距离要求（见4.3）</w:t>
      </w:r>
    </w:p>
    <w:p>
      <w:pPr>
        <w:pStyle w:val="232"/>
      </w:pPr>
      <w:r>
        <w:rPr>
          <w:rFonts w:hint="eastAsia"/>
        </w:rPr>
        <w:t>——更改了安全带上有效固定点的位置的要求（见4.3）</w:t>
      </w:r>
    </w:p>
    <w:p>
      <w:pPr>
        <w:pStyle w:val="232"/>
      </w:pPr>
      <w:r>
        <w:rPr>
          <w:rFonts w:hint="eastAsia"/>
        </w:rPr>
        <w:t>——增加了侧向座椅安全带固定点试验方法（见5.4）</w:t>
      </w:r>
    </w:p>
    <w:p>
      <w:pPr>
        <w:pStyle w:val="232"/>
      </w:pPr>
      <w:r>
        <w:rPr>
          <w:rFonts w:hint="eastAsia"/>
        </w:rPr>
        <w:t>——增加了i-Size乘坐位置试验方法（</w:t>
      </w:r>
      <w:r>
        <w:t>见</w:t>
      </w:r>
      <w:r>
        <w:rPr>
          <w:rFonts w:hint="eastAsia"/>
        </w:rPr>
        <w:t>5.6）</w:t>
      </w:r>
    </w:p>
    <w:p>
      <w:pPr>
        <w:pStyle w:val="232"/>
      </w:pPr>
      <w:r>
        <w:rPr>
          <w:rFonts w:hint="eastAsia"/>
        </w:rPr>
        <w:t>——增加了规范性附录G i-Size乘坐位置。</w:t>
      </w:r>
    </w:p>
    <w:p>
      <w:pPr>
        <w:pStyle w:val="59"/>
        <w:ind w:firstLine="420"/>
      </w:pPr>
      <w:r>
        <w:rPr>
          <w:rFonts w:hint="eastAsia"/>
        </w:rPr>
        <w:t>本文件由中华人民共和国工业和信息化部提出。</w:t>
      </w:r>
    </w:p>
    <w:p>
      <w:pPr>
        <w:pStyle w:val="232"/>
      </w:pPr>
      <w:r>
        <w:rPr>
          <w:rFonts w:hint="eastAsia"/>
        </w:rPr>
        <w:t>本文件由全国汽车标准化技术委员会（SAC/TC 114）归口。</w:t>
      </w:r>
    </w:p>
    <w:p>
      <w:pPr>
        <w:pStyle w:val="232"/>
        <w:rPr>
          <w:rFonts w:hAnsi="Calibri"/>
          <w:color w:val="000000"/>
        </w:rPr>
      </w:pPr>
      <w:r>
        <w:rPr>
          <w:rFonts w:hint="eastAsia" w:hAnsi="Calibri"/>
          <w:color w:val="000000"/>
        </w:rPr>
        <w:t>本文件及其所代替文件的历次版本发布情况为:</w:t>
      </w:r>
    </w:p>
    <w:p>
      <w:pPr>
        <w:pStyle w:val="232"/>
        <w:rPr>
          <w:rFonts w:hAnsi="Calibri"/>
          <w:color w:val="000000"/>
        </w:rPr>
      </w:pPr>
      <w:r>
        <w:rPr>
          <w:rFonts w:hint="eastAsia" w:hAnsi="Calibri"/>
          <w:color w:val="000000"/>
        </w:rPr>
        <w:t>——</w:t>
      </w:r>
      <w:r>
        <w:rPr>
          <w:rFonts w:hAnsi="Calibri"/>
          <w:color w:val="000000"/>
        </w:rPr>
        <w:t>1993年首次发布为GB 14166-1993</w:t>
      </w:r>
      <w:r>
        <w:rPr>
          <w:rFonts w:hint="eastAsia" w:hAnsi="Calibri"/>
          <w:color w:val="000000"/>
        </w:rPr>
        <w:t>；</w:t>
      </w:r>
    </w:p>
    <w:p>
      <w:pPr>
        <w:pStyle w:val="232"/>
        <w:rPr>
          <w:rFonts w:hAnsi="宋体"/>
        </w:rPr>
      </w:pPr>
      <w:r>
        <w:rPr>
          <w:rFonts w:hint="eastAsia" w:hAnsi="Calibri"/>
          <w:color w:val="000000"/>
        </w:rPr>
        <w:t>——</w:t>
      </w:r>
      <w:r>
        <w:rPr>
          <w:rFonts w:hint="eastAsia" w:hAnsi="宋体"/>
        </w:rPr>
        <w:t>2006年第一次修订；</w:t>
      </w:r>
    </w:p>
    <w:p>
      <w:pPr>
        <w:pStyle w:val="232"/>
        <w:rPr>
          <w:rFonts w:hint="eastAsia" w:hAnsi="Calibri"/>
          <w:color w:val="000000"/>
        </w:rPr>
      </w:pPr>
      <w:r>
        <w:rPr>
          <w:rFonts w:hint="eastAsia" w:hAnsi="Calibri"/>
          <w:color w:val="000000"/>
        </w:rPr>
        <w:t>——</w:t>
      </w:r>
      <w:r>
        <w:rPr>
          <w:rFonts w:hint="eastAsia" w:hAnsi="宋体"/>
        </w:rPr>
        <w:t>2013年第二次修订；</w:t>
      </w:r>
    </w:p>
    <w:p>
      <w:pPr>
        <w:pStyle w:val="232"/>
        <w:rPr>
          <w:rFonts w:hAnsi="Calibri"/>
          <w:color w:val="000000"/>
        </w:rPr>
      </w:pPr>
      <w:r>
        <w:rPr>
          <w:rFonts w:hint="eastAsia" w:hAnsi="Calibri"/>
          <w:color w:val="000000"/>
        </w:rPr>
        <w:t>——</w:t>
      </w:r>
      <w:r>
        <w:rPr>
          <w:rFonts w:hAnsi="Calibri"/>
          <w:color w:val="000000"/>
        </w:rPr>
        <w:t>本次为第</w:t>
      </w:r>
      <w:r>
        <w:rPr>
          <w:rFonts w:hint="eastAsia" w:hAnsi="Calibri"/>
          <w:color w:val="000000"/>
        </w:rPr>
        <w:t>三</w:t>
      </w:r>
      <w:r>
        <w:rPr>
          <w:rFonts w:hAnsi="Calibri"/>
          <w:color w:val="000000"/>
        </w:rPr>
        <w:t>次修订</w:t>
      </w:r>
      <w:r>
        <w:rPr>
          <w:rFonts w:hint="eastAsia" w:hAnsi="Calibri"/>
          <w:color w:val="000000"/>
        </w:rPr>
        <w:t>。</w:t>
      </w:r>
    </w:p>
    <w:p>
      <w:pPr>
        <w:pStyle w:val="232"/>
        <w:tabs>
          <w:tab w:val="left" w:pos="993"/>
        </w:tabs>
      </w:pPr>
    </w:p>
    <w:p>
      <w:pPr>
        <w:pStyle w:val="59"/>
        <w:ind w:firstLine="420"/>
      </w:pPr>
    </w:p>
    <w:p>
      <w:pPr>
        <w:pStyle w:val="59"/>
        <w:ind w:firstLine="420"/>
        <w:sectPr>
          <w:pgSz w:w="11906" w:h="16838"/>
          <w:pgMar w:top="2410" w:right="1134" w:bottom="1134" w:left="1134" w:header="1418" w:footer="1134" w:gutter="284"/>
          <w:pgNumType w:fmt="upperRoman"/>
          <w:cols w:space="425" w:num="1"/>
          <w:formProt w:val="0"/>
          <w:docGrid w:type="lines" w:linePitch="312" w:charSpace="0"/>
        </w:sectPr>
      </w:pP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8E0493AE4A094218A6C7435370DA1E2F"/>
        </w:placeholder>
      </w:sdtPr>
      <w:sdtContent>
        <w:p>
          <w:pPr>
            <w:pStyle w:val="180"/>
            <w:spacing w:before="312" w:beforeLines="100" w:after="3" w:afterLines="1"/>
          </w:pPr>
          <w:bookmarkStart w:id="23" w:name="NEW_STAND_NAME"/>
          <w:r>
            <w:rPr>
              <w:rFonts w:hint="eastAsia"/>
            </w:rPr>
            <w:t>机动车乘员用安全带和约束系统</w:t>
          </w:r>
          <w:r>
            <w:t>安装固定点</w:t>
          </w:r>
        </w:p>
      </w:sdtContent>
    </w:sdt>
    <w:bookmarkEnd w:id="23"/>
    <w:p>
      <w:pPr>
        <w:pStyle w:val="107"/>
        <w:spacing w:before="312" w:after="312"/>
      </w:pPr>
      <w:bookmarkStart w:id="24" w:name="_Toc17233333"/>
      <w:bookmarkStart w:id="25" w:name="_Toc26986771"/>
      <w:bookmarkStart w:id="26" w:name="_Toc17233325"/>
      <w:bookmarkStart w:id="27" w:name="_Toc24884211"/>
      <w:bookmarkStart w:id="28" w:name="_Toc24884218"/>
      <w:bookmarkStart w:id="29" w:name="_Toc26648465"/>
      <w:bookmarkStart w:id="30" w:name="_Toc26718930"/>
      <w:bookmarkStart w:id="31" w:name="_Toc26986530"/>
      <w:bookmarkStart w:id="32" w:name="_Toc78142660"/>
      <w:bookmarkStart w:id="33" w:name="_Toc96705333"/>
      <w:r>
        <w:rPr>
          <w:rFonts w:hint="eastAsia"/>
        </w:rPr>
        <w:t>范围</w:t>
      </w:r>
      <w:bookmarkEnd w:id="24"/>
      <w:bookmarkEnd w:id="25"/>
      <w:bookmarkEnd w:id="26"/>
      <w:bookmarkEnd w:id="27"/>
      <w:bookmarkEnd w:id="28"/>
      <w:bookmarkEnd w:id="29"/>
      <w:bookmarkEnd w:id="30"/>
      <w:bookmarkEnd w:id="31"/>
      <w:bookmarkEnd w:id="32"/>
      <w:bookmarkEnd w:id="33"/>
    </w:p>
    <w:p>
      <w:pPr>
        <w:pStyle w:val="59"/>
        <w:ind w:firstLine="420"/>
      </w:pPr>
      <w:bookmarkStart w:id="34" w:name="_Toc17233326"/>
      <w:bookmarkStart w:id="35" w:name="_Toc24884212"/>
      <w:bookmarkStart w:id="36" w:name="_Toc26648466"/>
      <w:bookmarkStart w:id="37" w:name="_Toc17233334"/>
      <w:bookmarkStart w:id="38" w:name="_Toc24884219"/>
      <w:r>
        <w:rPr>
          <w:rFonts w:hint="eastAsia"/>
        </w:rPr>
        <w:t>本文件规定了机动车乘员用安全带和儿童约束系统安装固定点的位置、强度要求和试验方法。</w:t>
      </w:r>
    </w:p>
    <w:p>
      <w:pPr>
        <w:pStyle w:val="59"/>
        <w:ind w:firstLine="420"/>
      </w:pPr>
      <w:r>
        <w:rPr>
          <w:rFonts w:hint="eastAsia"/>
        </w:rPr>
        <w:t>本文件适用于安装了前向、后向或侧向座椅成年乘员用安全带安装固定点的M和N类车辆。</w:t>
      </w:r>
    </w:p>
    <w:p>
      <w:pPr>
        <w:pStyle w:val="59"/>
        <w:ind w:firstLine="420"/>
      </w:pPr>
      <w:r>
        <w:rPr>
          <w:rFonts w:hint="eastAsia"/>
        </w:rPr>
        <w:t>本文件适用于安装了用于儿童约束系统的ISOFIX固定点系统及其上拉带固定点的M</w:t>
      </w:r>
      <w:r>
        <w:rPr>
          <w:rFonts w:hint="eastAsia"/>
          <w:vertAlign w:val="subscript"/>
        </w:rPr>
        <w:t>1</w:t>
      </w:r>
      <w:r>
        <w:rPr>
          <w:rFonts w:hint="eastAsia"/>
        </w:rPr>
        <w:t>类车辆，以及安装了ISOFIX固定点系统的其它类车辆。</w:t>
      </w:r>
    </w:p>
    <w:p>
      <w:pPr>
        <w:pStyle w:val="59"/>
        <w:ind w:firstLine="420"/>
      </w:pPr>
      <w:r>
        <w:rPr>
          <w:rFonts w:hint="eastAsia"/>
        </w:rPr>
        <w:t>本文件适用于具有i-Size乘坐位置的车辆。</w:t>
      </w:r>
    </w:p>
    <w:p>
      <w:pPr>
        <w:pStyle w:val="107"/>
        <w:spacing w:before="312" w:after="312"/>
      </w:pPr>
      <w:bookmarkStart w:id="39" w:name="_Toc78142661"/>
      <w:bookmarkStart w:id="40" w:name="_Toc26986531"/>
      <w:bookmarkStart w:id="41" w:name="_Toc96705334"/>
      <w:bookmarkStart w:id="42" w:name="_Toc26718931"/>
      <w:bookmarkStart w:id="43" w:name="_Toc26986772"/>
      <w:r>
        <w:rPr>
          <w:rFonts w:hint="eastAsia"/>
        </w:rPr>
        <w:t>规范性引用文件</w:t>
      </w:r>
      <w:bookmarkEnd w:id="34"/>
      <w:bookmarkEnd w:id="35"/>
      <w:bookmarkEnd w:id="36"/>
      <w:bookmarkEnd w:id="37"/>
      <w:bookmarkEnd w:id="38"/>
      <w:bookmarkEnd w:id="39"/>
      <w:bookmarkEnd w:id="40"/>
      <w:bookmarkEnd w:id="41"/>
      <w:bookmarkEnd w:id="42"/>
      <w:bookmarkEnd w:id="43"/>
    </w:p>
    <w:sdt>
      <w:sdtPr>
        <w:rPr>
          <w:rFonts w:hint="eastAsia"/>
        </w:rPr>
        <w:id w:val="715848253"/>
        <w:placeholder>
          <w:docPart w:val="60BE692A37B64F6E83FC6AD4E5497E6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2"/>
        <w:rPr>
          <w:rFonts w:hAnsi="宋体"/>
          <w:kern w:val="13"/>
        </w:rPr>
      </w:pPr>
      <w:r>
        <w:rPr>
          <w:rFonts w:hint="eastAsia" w:hAnsi="宋体"/>
          <w:kern w:val="13"/>
        </w:rPr>
        <w:t>GB 11551-</w:t>
      </w:r>
      <w:r>
        <w:rPr>
          <w:rFonts w:hAnsi="宋体"/>
          <w:kern w:val="13"/>
        </w:rPr>
        <w:t xml:space="preserve">2014 </w:t>
      </w:r>
      <w:r>
        <w:rPr>
          <w:rFonts w:hint="eastAsia" w:hAnsi="宋体"/>
          <w:kern w:val="13"/>
        </w:rPr>
        <w:t xml:space="preserve">  </w:t>
      </w:r>
      <w:r>
        <w:rPr>
          <w:rFonts w:hint="eastAsia" w:hAnsi="宋体"/>
        </w:rPr>
        <w:t>乘用车正面碰撞的乘员保护</w:t>
      </w:r>
    </w:p>
    <w:p>
      <w:pPr>
        <w:pStyle w:val="232"/>
        <w:rPr>
          <w:rFonts w:hAnsi="宋体"/>
          <w:kern w:val="13"/>
        </w:rPr>
      </w:pPr>
      <w:r>
        <w:rPr>
          <w:rFonts w:hint="eastAsia" w:hAnsi="宋体"/>
          <w:kern w:val="13"/>
        </w:rPr>
        <w:t>GB 11552</w:t>
      </w:r>
      <w:r>
        <w:rPr>
          <w:rFonts w:hAnsi="宋体"/>
          <w:kern w:val="13"/>
        </w:rPr>
        <w:t>-2009</w:t>
      </w:r>
      <w:r>
        <w:rPr>
          <w:rFonts w:hint="eastAsia" w:hAnsi="宋体"/>
          <w:kern w:val="13"/>
        </w:rPr>
        <w:t xml:space="preserve">   乘用车内部凸出物</w:t>
      </w:r>
    </w:p>
    <w:p>
      <w:pPr>
        <w:pStyle w:val="232"/>
        <w:rPr>
          <w:rFonts w:hAnsi="宋体"/>
          <w:kern w:val="13"/>
        </w:rPr>
      </w:pPr>
      <w:r>
        <w:rPr>
          <w:rFonts w:hint="eastAsia" w:hAnsi="宋体"/>
          <w:kern w:val="13"/>
        </w:rPr>
        <w:t>GB 13057</w:t>
      </w:r>
      <w:r>
        <w:rPr>
          <w:rFonts w:hAnsi="宋体"/>
          <w:kern w:val="13"/>
        </w:rPr>
        <w:t>-2003</w:t>
      </w:r>
      <w:r>
        <w:rPr>
          <w:rFonts w:hint="eastAsia" w:hAnsi="宋体"/>
          <w:kern w:val="13"/>
        </w:rPr>
        <w:t xml:space="preserve">   客车座椅及其车辆固定件的强度</w:t>
      </w:r>
    </w:p>
    <w:p>
      <w:pPr>
        <w:pStyle w:val="232"/>
        <w:rPr>
          <w:rFonts w:hAnsi="宋体"/>
          <w:kern w:val="13"/>
        </w:rPr>
      </w:pPr>
      <w:r>
        <w:rPr>
          <w:rFonts w:hint="eastAsia" w:hAnsi="宋体"/>
          <w:kern w:val="13"/>
        </w:rPr>
        <w:t>GB 14166   机动车乘员用安全带和约束系统</w:t>
      </w:r>
    </w:p>
    <w:p>
      <w:pPr>
        <w:pStyle w:val="232"/>
        <w:rPr>
          <w:rFonts w:hAnsi="宋体"/>
          <w:kern w:val="13"/>
        </w:rPr>
      </w:pPr>
      <w:r>
        <w:rPr>
          <w:rFonts w:hint="eastAsia" w:hAnsi="宋体"/>
          <w:kern w:val="13"/>
        </w:rPr>
        <w:t>GB/T 15089 机动车辆及挂车分类</w:t>
      </w:r>
    </w:p>
    <w:p>
      <w:pPr>
        <w:pStyle w:val="232"/>
        <w:rPr>
          <w:rFonts w:hAnsi="宋体"/>
          <w:kern w:val="13"/>
        </w:rPr>
      </w:pPr>
      <w:r>
        <w:rPr>
          <w:rFonts w:hint="eastAsia" w:hAnsi="宋体"/>
          <w:kern w:val="13"/>
        </w:rPr>
        <w:t xml:space="preserve">GB 27887   机动车儿童乘员用约束系统 </w:t>
      </w:r>
    </w:p>
    <w:p>
      <w:pPr>
        <w:pStyle w:val="232"/>
        <w:rPr>
          <w:rFonts w:hAnsi="宋体"/>
          <w:kern w:val="13"/>
        </w:rPr>
      </w:pPr>
      <w:r>
        <w:rPr>
          <w:rFonts w:hint="eastAsia"/>
        </w:rPr>
        <w:t>GB</w:t>
      </w:r>
      <w:r>
        <w:t xml:space="preserve"> </w:t>
      </w:r>
      <w:r>
        <w:rPr>
          <w:rFonts w:hint="eastAsia"/>
        </w:rPr>
        <w:t>13094-2017</w:t>
      </w:r>
      <w:r>
        <w:t xml:space="preserve"> </w:t>
      </w:r>
      <w:r>
        <w:rPr>
          <w:rFonts w:hint="eastAsia"/>
        </w:rPr>
        <w:t>客车</w:t>
      </w:r>
      <w:r>
        <w:t>结构</w:t>
      </w:r>
      <w:r>
        <w:rPr>
          <w:rFonts w:hint="eastAsia"/>
        </w:rPr>
        <w:t>安全要求</w:t>
      </w:r>
    </w:p>
    <w:p>
      <w:pPr>
        <w:pStyle w:val="59"/>
        <w:ind w:firstLine="420"/>
      </w:pPr>
      <w:r>
        <w:rPr>
          <w:rFonts w:hint="eastAsia" w:hAnsi="宋体"/>
          <w:kern w:val="13"/>
        </w:rPr>
        <w:t xml:space="preserve">ISO 6487-2002  </w:t>
      </w:r>
      <w:r>
        <w:rPr>
          <w:rFonts w:hint="eastAsia"/>
        </w:rPr>
        <w:t>道路车辆</w:t>
      </w:r>
      <w:r>
        <w:t xml:space="preserve"> </w:t>
      </w:r>
      <w:r>
        <w:rPr>
          <w:rFonts w:hint="eastAsia"/>
        </w:rPr>
        <w:t>碰撞试验中的测量技术 设备</w:t>
      </w:r>
      <w:r>
        <w:rPr>
          <w:rFonts w:hint="eastAsia" w:hAnsi="宋体"/>
          <w:kern w:val="13"/>
        </w:rPr>
        <w:t>（</w:t>
      </w:r>
      <w:r>
        <w:rPr>
          <w:rFonts w:hAnsi="宋体"/>
          <w:kern w:val="13"/>
        </w:rPr>
        <w:t>Road vehicles</w:t>
      </w:r>
      <w:r>
        <w:rPr>
          <w:rFonts w:hint="eastAsia" w:hAnsi="宋体"/>
          <w:kern w:val="13"/>
        </w:rPr>
        <w:t>—</w:t>
      </w:r>
      <w:r>
        <w:rPr>
          <w:rFonts w:hAnsi="宋体"/>
          <w:kern w:val="13"/>
        </w:rPr>
        <w:t>Measurement techniques in impact tests</w:t>
      </w:r>
      <w:r>
        <w:rPr>
          <w:rFonts w:hint="eastAsia" w:hAnsi="宋体"/>
          <w:kern w:val="13"/>
        </w:rPr>
        <w:t>—</w:t>
      </w:r>
      <w:r>
        <w:rPr>
          <w:rFonts w:hAnsi="宋体"/>
          <w:kern w:val="13"/>
        </w:rPr>
        <w:t>Instrumentation</w:t>
      </w:r>
      <w:r>
        <w:rPr>
          <w:rFonts w:hint="eastAsia" w:hAnsi="宋体"/>
          <w:kern w:val="13"/>
        </w:rPr>
        <w:t>）</w:t>
      </w:r>
    </w:p>
    <w:p>
      <w:pPr>
        <w:pStyle w:val="107"/>
        <w:spacing w:before="312" w:after="312"/>
      </w:pPr>
      <w:bookmarkStart w:id="44" w:name="_Toc78142662"/>
      <w:bookmarkStart w:id="45" w:name="_Toc96705335"/>
      <w:r>
        <w:rPr>
          <w:rFonts w:hint="eastAsia"/>
          <w:szCs w:val="21"/>
        </w:rPr>
        <w:t>术语和定义</w:t>
      </w:r>
      <w:bookmarkEnd w:id="44"/>
      <w:bookmarkEnd w:id="45"/>
    </w:p>
    <w:sdt>
      <w:sdtPr>
        <w:id w:val="-1909835108"/>
        <w:placeholder>
          <w:docPart w:val="60BE692A37B64F6E83FC6AD4E5497E6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9"/>
            <w:ind w:firstLine="420"/>
          </w:pPr>
          <w:bookmarkStart w:id="46" w:name="_Toc26986532"/>
          <w:bookmarkEnd w:id="46"/>
          <w:r>
            <w:t>下列术语和定义适用于本文件。</w:t>
          </w:r>
        </w:p>
      </w:sdtContent>
    </w:sdt>
    <w:p>
      <w:pPr>
        <w:pStyle w:val="226"/>
        <w:ind w:left="420" w:hanging="420" w:hangingChars="200"/>
        <w:rPr>
          <w:rFonts w:ascii="黑体" w:hAnsi="黑体" w:eastAsia="黑体"/>
        </w:rPr>
      </w:pPr>
      <w:r>
        <w:rPr>
          <w:rFonts w:ascii="黑体" w:hAnsi="黑体" w:eastAsia="黑体"/>
        </w:rPr>
        <w:br w:type="textWrapping"/>
      </w:r>
      <w:r>
        <w:rPr>
          <w:rFonts w:hint="eastAsia" w:ascii="黑体" w:eastAsia="黑体"/>
        </w:rPr>
        <w:t>车辆类型  vehicle type</w:t>
      </w:r>
    </w:p>
    <w:p>
      <w:pPr>
        <w:pStyle w:val="59"/>
        <w:ind w:firstLine="420"/>
      </w:pPr>
      <w:r>
        <w:rPr>
          <w:rFonts w:hint="eastAsia"/>
        </w:rPr>
        <w:t>与安全带固定点、ISOFIX固定点系统及ISOFIX上拉带固定点相连接的车辆或座椅构件的尺寸、外形和材料等方面以及进行i-Size乘坐位置静态试验的车辆地板强度等方面无差异的一类机动车辆。若进行安全带固定点强度的动态试验，则车辆的约束系统元件的性能,尤其是对施加在安全带固定点上的力有影响的限力装置也应无差异。</w:t>
      </w:r>
    </w:p>
    <w:p>
      <w:pPr>
        <w:pStyle w:val="226"/>
        <w:ind w:left="420" w:hanging="420" w:hangingChars="200"/>
        <w:rPr>
          <w:rFonts w:ascii="黑体" w:hAnsi="黑体" w:eastAsia="黑体"/>
        </w:rPr>
      </w:pPr>
      <w:r>
        <w:rPr>
          <w:rFonts w:ascii="黑体" w:hAnsi="黑体" w:eastAsia="黑体"/>
        </w:rPr>
        <w:br w:type="textWrapping"/>
      </w:r>
      <w:r>
        <w:rPr>
          <w:rFonts w:hint="eastAsia" w:ascii="黑体" w:eastAsia="黑体"/>
        </w:rPr>
        <w:t>安全带固定点  belt anchorage</w:t>
      </w:r>
    </w:p>
    <w:p>
      <w:pPr>
        <w:pStyle w:val="59"/>
        <w:ind w:firstLine="420"/>
      </w:pPr>
      <w:r>
        <w:rPr>
          <w:rFonts w:hint="eastAsia"/>
        </w:rPr>
        <w:t>在车身、座椅或车辆其他部分的构件上用于安装、固定安全带总成的零部件。</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安全带有效固定点  effective belt anchorage</w:t>
      </w:r>
    </w:p>
    <w:p>
      <w:pPr>
        <w:pStyle w:val="232"/>
        <w:rPr>
          <w:rFonts w:hAnsi="宋体"/>
        </w:rPr>
      </w:pPr>
      <w:r>
        <w:rPr>
          <w:rFonts w:hint="eastAsia"/>
        </w:rPr>
        <w:t>用于确定</w:t>
      </w:r>
      <w:r>
        <w:fldChar w:fldCharType="begin"/>
      </w:r>
      <w:r>
        <w:instrText xml:space="preserve"> </w:instrText>
      </w:r>
      <w:r>
        <w:rPr>
          <w:rFonts w:hint="eastAsia"/>
        </w:rPr>
        <w:instrText xml:space="preserve">REF _Ref276823150 \r \h</w:instrText>
      </w:r>
      <w:r>
        <w:instrText xml:space="preserve">  \* MERGEFORMAT </w:instrText>
      </w:r>
      <w:r>
        <w:fldChar w:fldCharType="separate"/>
      </w:r>
      <w:r>
        <w:rPr>
          <w:rFonts w:hint="eastAsia"/>
        </w:rPr>
        <w:t>4.3　</w:t>
      </w:r>
      <w:r>
        <w:fldChar w:fldCharType="end"/>
      </w:r>
      <w:r>
        <w:rPr>
          <w:rFonts w:hint="eastAsia"/>
        </w:rPr>
        <w:t>规定的安全带各部分相对于使用者的角度的点；将织带系于该点可获得与预期设计相同的安全带佩带状态。它可是也可不是安全带实际固定点，主要取决于与固定点相连接的安全带金属接头的形状。如：</w:t>
      </w:r>
    </w:p>
    <w:p>
      <w:pPr>
        <w:pStyle w:val="135"/>
        <w:rPr>
          <w:rFonts w:hAnsi="宋体"/>
        </w:rPr>
      </w:pPr>
      <w:r>
        <w:rPr>
          <w:rFonts w:hint="eastAsia"/>
        </w:rPr>
        <w:t>如果在车身结构或座椅结构上设有织带的导向件，则应将织带朝向使用者一侧的导向件中点作为安全带有效固定点；</w:t>
      </w:r>
    </w:p>
    <w:p>
      <w:pPr>
        <w:pStyle w:val="135"/>
        <w:rPr>
          <w:rFonts w:hAnsi="宋体"/>
        </w:rPr>
      </w:pPr>
      <w:r>
        <w:rPr>
          <w:rFonts w:hint="eastAsia"/>
        </w:rPr>
        <w:t>如果安全带经使用者直接通向卷收器而不带导向件，则应以卷轴与通过织带中心线卷收平面的交点作为安全带有效固定点。</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地板  floor</w:t>
      </w:r>
    </w:p>
    <w:p>
      <w:pPr>
        <w:pStyle w:val="59"/>
        <w:ind w:firstLine="420"/>
      </w:pPr>
      <w:r>
        <w:rPr>
          <w:rFonts w:hint="eastAsia"/>
        </w:rPr>
        <w:t>与车身侧围连接的车身底板，包括加强件和底板下面的纵、横梁。</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座椅  seat</w:t>
      </w:r>
    </w:p>
    <w:p>
      <w:pPr>
        <w:pStyle w:val="59"/>
        <w:ind w:firstLine="420"/>
      </w:pPr>
      <w:r>
        <w:rPr>
          <w:rFonts w:hint="eastAsia"/>
        </w:rPr>
        <w:t>可供一个成年人乘坐、带完整装饰的装置，可与车身框架一体，也可独立；可是单独的，也可是长条座椅的供一人乘坐的部分。</w:t>
      </w:r>
    </w:p>
    <w:p>
      <w:pPr>
        <w:pStyle w:val="227"/>
        <w:ind w:left="420" w:hanging="420" w:hangingChars="200"/>
      </w:pPr>
      <w:r>
        <w:rPr>
          <w:rFonts w:ascii="黑体" w:hAnsi="黑体" w:eastAsia="黑体"/>
        </w:rPr>
        <w:br w:type="textWrapping"/>
      </w:r>
      <w:r>
        <w:rPr>
          <w:rFonts w:hint="eastAsia" w:ascii="黑体" w:eastAsia="黑体"/>
        </w:rPr>
        <w:t>前排乘员座椅  front passenger seat</w:t>
      </w:r>
    </w:p>
    <w:p>
      <w:pPr>
        <w:pStyle w:val="59"/>
        <w:ind w:firstLine="420"/>
      </w:pPr>
      <w:r>
        <w:rPr>
          <w:rFonts w:hint="eastAsia"/>
        </w:rPr>
        <w:t>“最前H点”位于过驾驶员R点的横截面上或在此横截面前方的的座椅。</w:t>
      </w:r>
    </w:p>
    <w:p>
      <w:pPr>
        <w:pStyle w:val="227"/>
        <w:ind w:left="420" w:hanging="420" w:hangingChars="200"/>
        <w:rPr>
          <w:rFonts w:ascii="黑体" w:eastAsia="黑体"/>
        </w:rPr>
      </w:pPr>
      <w:r>
        <w:rPr>
          <w:rFonts w:ascii="黑体" w:hAnsi="黑体" w:eastAsia="黑体"/>
        </w:rPr>
        <w:br w:type="textWrapping"/>
      </w:r>
      <w:r>
        <w:rPr>
          <w:rFonts w:hint="eastAsia" w:ascii="黑体" w:eastAsia="黑体"/>
        </w:rPr>
        <w:t>前向座椅</w:t>
      </w:r>
      <w:r>
        <w:rPr>
          <w:rFonts w:ascii="黑体" w:eastAsia="黑体"/>
        </w:rPr>
        <w:t>Forward-facing seat</w:t>
      </w:r>
    </w:p>
    <w:p>
      <w:pPr>
        <w:pStyle w:val="59"/>
        <w:ind w:firstLine="420"/>
      </w:pPr>
      <w:r>
        <w:rPr>
          <w:rFonts w:hint="eastAsia"/>
        </w:rPr>
        <w:t>车辆行驶中使用的座椅,其面向车辆前方布置,座椅的对称垂直面与车辆对称垂直面形成的角度为0°±10°。</w:t>
      </w:r>
    </w:p>
    <w:p>
      <w:pPr>
        <w:pStyle w:val="227"/>
        <w:ind w:left="420" w:hanging="420" w:hangingChars="200"/>
        <w:rPr>
          <w:rFonts w:ascii="黑体" w:eastAsia="黑体"/>
        </w:rPr>
      </w:pPr>
      <w:r>
        <w:rPr>
          <w:rFonts w:ascii="黑体" w:hAnsi="黑体" w:eastAsia="黑体"/>
        </w:rPr>
        <w:br w:type="textWrapping"/>
      </w:r>
      <w:r>
        <w:rPr>
          <w:rFonts w:hint="eastAsia" w:ascii="黑体" w:eastAsia="黑体"/>
        </w:rPr>
        <w:t>后向座椅</w:t>
      </w:r>
      <w:r>
        <w:rPr>
          <w:rFonts w:ascii="黑体" w:eastAsia="黑体"/>
        </w:rPr>
        <w:t>Rearward-facing seat</w:t>
      </w:r>
    </w:p>
    <w:p>
      <w:pPr>
        <w:pStyle w:val="59"/>
        <w:ind w:firstLine="420"/>
        <w:rPr>
          <w:lang w:val="en-GB"/>
        </w:rPr>
      </w:pPr>
      <w:r>
        <w:rPr>
          <w:rFonts w:hint="eastAsia"/>
          <w:lang w:val="en-GB"/>
        </w:rPr>
        <w:t>车辆行驶中使用的座椅,其面向车辆后方布置,座椅的对称垂直面与车辆对称垂直面形成的角度为0°±10°。</w:t>
      </w:r>
    </w:p>
    <w:p>
      <w:pPr>
        <w:pStyle w:val="227"/>
        <w:ind w:left="420" w:hanging="420" w:hangingChars="200"/>
        <w:rPr>
          <w:rFonts w:ascii="黑体" w:eastAsia="黑体"/>
          <w:szCs w:val="21"/>
        </w:rPr>
      </w:pPr>
      <w:r>
        <w:rPr>
          <w:rFonts w:ascii="黑体" w:hAnsi="黑体" w:eastAsia="黑体"/>
          <w:lang w:val="en-GB"/>
        </w:rPr>
        <w:br w:type="textWrapping"/>
      </w:r>
      <w:r>
        <w:rPr>
          <w:rFonts w:hint="eastAsia" w:ascii="黑体" w:eastAsia="黑体"/>
          <w:szCs w:val="21"/>
        </w:rPr>
        <w:t>侧向座椅</w:t>
      </w:r>
      <w:r>
        <w:rPr>
          <w:rFonts w:ascii="黑体" w:eastAsia="黑体"/>
          <w:szCs w:val="21"/>
        </w:rPr>
        <w:t>Side-facing seat</w:t>
      </w:r>
    </w:p>
    <w:p>
      <w:pPr>
        <w:pStyle w:val="59"/>
        <w:ind w:firstLine="420"/>
        <w:rPr>
          <w:lang w:val="en-GB"/>
        </w:rPr>
      </w:pPr>
      <w:r>
        <w:rPr>
          <w:rFonts w:hint="eastAsia"/>
          <w:lang w:val="en-GB"/>
        </w:rPr>
        <w:t>车辆行驶中使用的座椅,其面向车辆侧方布置﹐座椅的对称垂直面与车辆对称垂直面形成的角度为90°±10°。</w:t>
      </w:r>
    </w:p>
    <w:p>
      <w:pPr>
        <w:pStyle w:val="226"/>
        <w:ind w:left="420" w:hanging="420" w:hangingChars="200"/>
        <w:rPr>
          <w:rFonts w:ascii="黑体" w:eastAsia="黑体"/>
        </w:rPr>
      </w:pPr>
      <w:r>
        <w:rPr>
          <w:rFonts w:ascii="黑体" w:hAnsi="黑体" w:eastAsia="黑体"/>
          <w:lang w:val="en-GB"/>
        </w:rPr>
        <w:br w:type="textWrapping"/>
      </w:r>
      <w:r>
        <w:rPr>
          <w:rFonts w:hint="eastAsia" w:ascii="黑体" w:eastAsia="黑体"/>
        </w:rPr>
        <w:t>座椅组  group of seats</w:t>
      </w:r>
    </w:p>
    <w:p>
      <w:pPr>
        <w:pStyle w:val="59"/>
        <w:ind w:firstLine="420"/>
      </w:pPr>
      <w:r>
        <w:rPr>
          <w:rFonts w:hint="eastAsia"/>
        </w:rPr>
        <w:t>可供一个或多个成年乘员乘坐的长条座椅或多个并排的单独座椅（即这些座椅中的一个前固定点与另一个座椅的后固定点的前部成一条直线或在另一个座椅的固定点之间）。</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长条座椅  bench seat</w:t>
      </w:r>
    </w:p>
    <w:p>
      <w:pPr>
        <w:pStyle w:val="59"/>
        <w:ind w:firstLine="420"/>
      </w:pPr>
      <w:r>
        <w:rPr>
          <w:rFonts w:hint="eastAsia"/>
        </w:rPr>
        <w:t>供一个以上成年乘员乘坐且有完整装饰的乘坐设施。</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座椅型式  seat type</w:t>
      </w:r>
    </w:p>
    <w:p>
      <w:pPr>
        <w:pStyle w:val="232"/>
        <w:rPr>
          <w:rFonts w:hAnsi="宋体"/>
        </w:rPr>
      </w:pPr>
      <w:r>
        <w:rPr>
          <w:rFonts w:hint="eastAsia"/>
        </w:rPr>
        <w:t>在以下方面没有差异的座椅类别：</w:t>
      </w:r>
    </w:p>
    <w:p>
      <w:pPr>
        <w:pStyle w:val="135"/>
        <w:rPr>
          <w:rFonts w:hAnsi="宋体"/>
        </w:rPr>
      </w:pPr>
      <w:r>
        <w:rPr>
          <w:rFonts w:hint="eastAsia"/>
        </w:rPr>
        <w:t>座椅结构的外形、尺寸和材料；</w:t>
      </w:r>
    </w:p>
    <w:p>
      <w:pPr>
        <w:pStyle w:val="135"/>
        <w:rPr>
          <w:rFonts w:hAnsi="宋体"/>
        </w:rPr>
      </w:pPr>
      <w:r>
        <w:rPr>
          <w:rFonts w:hint="eastAsia"/>
        </w:rPr>
        <w:t>调节系统和锁止系统的型式及尺寸；</w:t>
      </w:r>
    </w:p>
    <w:p>
      <w:pPr>
        <w:pStyle w:val="135"/>
      </w:pPr>
      <w:r>
        <w:rPr>
          <w:rFonts w:hint="eastAsia"/>
        </w:rPr>
        <w:t>安全带固定点、座椅固定装置及车辆结构相关部分的型式和尺寸。</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座椅固定点  seat anchorage</w:t>
      </w:r>
    </w:p>
    <w:p>
      <w:pPr>
        <w:pStyle w:val="59"/>
        <w:ind w:firstLine="420"/>
      </w:pPr>
      <w:r>
        <w:rPr>
          <w:rFonts w:hint="eastAsia"/>
        </w:rPr>
        <w:t>将座椅总成固定在车身结构上的系统，包括车身结构上受到影响的部分。</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调节装置  adjustment system</w:t>
      </w:r>
    </w:p>
    <w:p>
      <w:pPr>
        <w:pStyle w:val="232"/>
        <w:rPr>
          <w:rFonts w:hAnsi="宋体"/>
        </w:rPr>
      </w:pPr>
      <w:r>
        <w:rPr>
          <w:rFonts w:hint="eastAsia"/>
        </w:rPr>
        <w:t>可调节座椅或座椅部件的位置以适应乘员坐姿的装置,允许座椅:</w:t>
      </w:r>
    </w:p>
    <w:p>
      <w:pPr>
        <w:pStyle w:val="135"/>
        <w:rPr>
          <w:rFonts w:hAnsi="宋体"/>
        </w:rPr>
      </w:pPr>
      <w:r>
        <w:rPr>
          <w:rFonts w:hint="eastAsia"/>
        </w:rPr>
        <w:t>纵向移动；</w:t>
      </w:r>
    </w:p>
    <w:p>
      <w:pPr>
        <w:pStyle w:val="135"/>
        <w:rPr>
          <w:rFonts w:hAnsi="宋体"/>
        </w:rPr>
      </w:pPr>
      <w:r>
        <w:rPr>
          <w:rFonts w:hint="eastAsia"/>
        </w:rPr>
        <w:t>垂直移动；</w:t>
      </w:r>
    </w:p>
    <w:p>
      <w:pPr>
        <w:pStyle w:val="135"/>
      </w:pPr>
      <w:r>
        <w:rPr>
          <w:rFonts w:hint="eastAsia"/>
        </w:rPr>
        <w:t>调整角度。</w:t>
      </w:r>
    </w:p>
    <w:p>
      <w:pPr>
        <w:pStyle w:val="226"/>
        <w:ind w:left="420" w:hanging="420" w:hangingChars="200"/>
      </w:pPr>
      <w:r>
        <w:rPr>
          <w:rFonts w:ascii="黑体" w:hAnsi="黑体" w:eastAsia="黑体"/>
        </w:rPr>
        <w:br w:type="textWrapping"/>
      </w:r>
      <w:r>
        <w:rPr>
          <w:rFonts w:hint="eastAsia" w:ascii="黑体" w:eastAsia="黑体"/>
        </w:rPr>
        <w:t>移位装置</w:t>
      </w:r>
      <w:r>
        <w:rPr>
          <w:rFonts w:hint="eastAsia"/>
        </w:rPr>
        <w:t xml:space="preserve"> </w:t>
      </w:r>
      <w:r>
        <w:rPr>
          <w:rFonts w:hint="eastAsia" w:ascii="黑体" w:eastAsia="黑体"/>
        </w:rPr>
        <w:t xml:space="preserve"> displacement system</w:t>
      </w:r>
    </w:p>
    <w:p>
      <w:pPr>
        <w:pStyle w:val="59"/>
        <w:ind w:firstLine="420"/>
      </w:pPr>
      <w:r>
        <w:rPr>
          <w:rFonts w:hint="eastAsia"/>
        </w:rPr>
        <w:t>为便于乘员出入该座椅后面,使座椅或其一部分旋转或/和移动的装置。座椅或其一部分旋转或/和移动过程中无固定位置。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锁止装置  locking system</w:t>
      </w:r>
    </w:p>
    <w:p>
      <w:pPr>
        <w:pStyle w:val="59"/>
        <w:ind w:firstLine="420"/>
      </w:pPr>
      <w:r>
        <w:rPr>
          <w:rFonts w:hint="eastAsia"/>
        </w:rPr>
        <w:t>确保座椅或其中一部分保持在某一使用位置的任何机构，包括锁止靠背与椅座及座椅与车辆相对位置的机构。</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基准区  reference zone</w:t>
      </w:r>
    </w:p>
    <w:p>
      <w:pPr>
        <w:pStyle w:val="59"/>
        <w:ind w:firstLine="420"/>
      </w:pPr>
      <w:r>
        <w:rPr>
          <w:rFonts w:hint="eastAsia"/>
        </w:rPr>
        <w:t>两个距离400 mm、相对于H点对称的垂直纵向平面间的空间。它是由GB 11552-2009</w:t>
      </w:r>
      <w:r>
        <w:rPr>
          <w:rFonts w:hint="eastAsia" w:hAnsi="宋体"/>
        </w:rPr>
        <w:t>附录C中的头型由垂直向水平方向旋转所确定的。</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胸部限力装置  thorax load limiter function</w:t>
      </w:r>
    </w:p>
    <w:p>
      <w:pPr>
        <w:pStyle w:val="59"/>
        <w:ind w:firstLine="420"/>
      </w:pPr>
      <w:r>
        <w:rPr>
          <w:rFonts w:hint="eastAsia"/>
        </w:rPr>
        <w:t>安全带、座椅、车辆上能限制碰撞时乘员胸部所受约束力的装置。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国际通用的儿童约束系统固定装置  ISOFIX</w:t>
      </w:r>
    </w:p>
    <w:p>
      <w:pPr>
        <w:pStyle w:val="59"/>
        <w:ind w:firstLine="420"/>
      </w:pPr>
      <w:r>
        <w:rPr>
          <w:rFonts w:hint="eastAsia"/>
        </w:rPr>
        <w:t>将儿童约束系统与车辆连接的装置。包括车辆上的两个刚性固定点、儿童约束系统上两个相对应的的刚性连接装置以及限制儿童约束系统翻转的装置。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ISOFIX位置</w:t>
      </w:r>
      <w:r>
        <w:rPr>
          <w:rFonts w:ascii="黑体" w:eastAsia="黑体"/>
        </w:rPr>
        <w:t>ISOFIX position</w:t>
      </w:r>
    </w:p>
    <w:p>
      <w:pPr>
        <w:pStyle w:val="59"/>
        <w:ind w:firstLine="420"/>
      </w:pPr>
      <w:r>
        <w:rPr>
          <w:rFonts w:hint="eastAsia"/>
        </w:rPr>
        <w:t>允许安装下述儿童约束系统的位置：</w:t>
      </w:r>
    </w:p>
    <w:p>
      <w:pPr>
        <w:pStyle w:val="59"/>
        <w:ind w:firstLine="420"/>
      </w:pPr>
      <w:r>
        <w:rPr>
          <w:rFonts w:hint="eastAsia"/>
        </w:rPr>
        <w:t>a)</w:t>
      </w:r>
      <w:r>
        <w:rPr>
          <w:rFonts w:hint="eastAsia"/>
        </w:rPr>
        <w:tab/>
      </w:r>
      <w:r>
        <w:rPr>
          <w:rFonts w:hint="eastAsia"/>
        </w:rPr>
        <w:t>整体式通用ISOFIX儿童约束系统（i-Size）；</w:t>
      </w:r>
    </w:p>
    <w:p>
      <w:pPr>
        <w:pStyle w:val="59"/>
        <w:ind w:firstLine="420"/>
      </w:pPr>
      <w:r>
        <w:rPr>
          <w:rFonts w:hint="eastAsia"/>
        </w:rPr>
        <w:t>b)</w:t>
      </w:r>
      <w:r>
        <w:rPr>
          <w:rFonts w:hint="eastAsia"/>
        </w:rPr>
        <w:tab/>
      </w:r>
      <w:r>
        <w:rPr>
          <w:rFonts w:hint="eastAsia"/>
        </w:rPr>
        <w:t>整体式特殊车型用ISOFIX儿童约束系统；</w:t>
      </w:r>
    </w:p>
    <w:p>
      <w:pPr>
        <w:pStyle w:val="59"/>
        <w:ind w:firstLine="420"/>
      </w:pPr>
      <w:r>
        <w:rPr>
          <w:rFonts w:hint="eastAsia"/>
        </w:rPr>
        <w:t>c)</w:t>
      </w:r>
      <w:r>
        <w:rPr>
          <w:rFonts w:hint="eastAsia"/>
        </w:rPr>
        <w:tab/>
      </w:r>
      <w:r>
        <w:rPr>
          <w:rFonts w:hint="eastAsia"/>
        </w:rPr>
        <w:t>非整体式带靠背通用儿童约束系统（i-Size增高椅）；</w:t>
      </w:r>
    </w:p>
    <w:p>
      <w:pPr>
        <w:pStyle w:val="59"/>
        <w:ind w:firstLine="420"/>
      </w:pPr>
      <w:r>
        <w:rPr>
          <w:rFonts w:hint="eastAsia"/>
        </w:rPr>
        <w:t>d)</w:t>
      </w:r>
      <w:r>
        <w:rPr>
          <w:rFonts w:hint="eastAsia"/>
        </w:rPr>
        <w:tab/>
      </w:r>
      <w:r>
        <w:rPr>
          <w:rFonts w:hint="eastAsia"/>
        </w:rPr>
        <w:t>非整体式带靠背特殊车型用儿童约束系统（特殊车型用增高椅）；</w:t>
      </w:r>
    </w:p>
    <w:p>
      <w:pPr>
        <w:pStyle w:val="59"/>
        <w:ind w:firstLine="420"/>
      </w:pPr>
      <w:r>
        <w:t>e)</w:t>
      </w:r>
      <w:r>
        <w:tab/>
      </w:r>
      <w:r>
        <w:rPr>
          <w:rFonts w:hint="eastAsia"/>
        </w:rPr>
        <w:t>非整体式无靠背通用儿童约束系统（通用增高垫）；</w:t>
      </w:r>
    </w:p>
    <w:p>
      <w:pPr>
        <w:pStyle w:val="59"/>
        <w:ind w:firstLine="420"/>
      </w:pPr>
      <w:r>
        <w:rPr>
          <w:rFonts w:hint="eastAsia"/>
        </w:rPr>
        <w:t>f)</w:t>
      </w:r>
      <w:r>
        <w:rPr>
          <w:rFonts w:hint="eastAsia"/>
        </w:rPr>
        <w:tab/>
      </w:r>
      <w:r>
        <w:rPr>
          <w:rFonts w:hint="eastAsia"/>
        </w:rPr>
        <w:t>非整体式无靠背特殊车型用儿童约束系统（特殊车型用增高垫）。</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ISOFIX下固定点  ISOFIX low anchorage</w:t>
      </w:r>
    </w:p>
    <w:p>
      <w:pPr>
        <w:pStyle w:val="59"/>
        <w:ind w:firstLine="420"/>
      </w:pPr>
      <w:r>
        <w:rPr>
          <w:rFonts w:hint="eastAsia"/>
        </w:rPr>
        <w:t>是一个直径6 mm的水平放置的刚性圆杆，从车辆结构或座椅结构中伸出，并与带有ISOFIX连接装置的ISOFIX儿童约束系统相配合使用。</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ISOFIX固定点系统  ISOFIX anchorages system</w:t>
      </w:r>
    </w:p>
    <w:p>
      <w:pPr>
        <w:pStyle w:val="59"/>
        <w:ind w:firstLine="420"/>
      </w:pPr>
      <w:r>
        <w:rPr>
          <w:rFonts w:hint="eastAsia"/>
        </w:rPr>
        <w:t>由两个ISOFIX下固定点组成，与抗翻转装置配合使用，用于固定ISOFIX儿童约束系统。</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ISOFIX连接装置  ISOFIX attachment</w:t>
      </w:r>
    </w:p>
    <w:p>
      <w:pPr>
        <w:pStyle w:val="59"/>
        <w:ind w:firstLine="420"/>
      </w:pPr>
      <w:r>
        <w:rPr>
          <w:rFonts w:hint="eastAsia"/>
        </w:rPr>
        <w:t>从ISOFIX儿童约束系统结构中伸出，与ISOFIX的车辆下部固定点配合使用的连接装置。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 儿童约束系统  ISOFIX child restraint system</w:t>
      </w:r>
    </w:p>
    <w:p>
      <w:pPr>
        <w:pStyle w:val="59"/>
        <w:ind w:firstLine="420"/>
      </w:pPr>
      <w:r>
        <w:rPr>
          <w:rFonts w:hint="eastAsia"/>
        </w:rPr>
        <w:t>符合GB 27887要求，需要连接到ISOFIX固定点系统的一种儿童约束系统。</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静态加载装置  static force application device，SFAD</w:t>
      </w:r>
    </w:p>
    <w:p>
      <w:pPr>
        <w:pStyle w:val="59"/>
        <w:ind w:firstLine="420"/>
      </w:pPr>
      <w:r>
        <w:rPr>
          <w:rFonts w:hint="eastAsia"/>
        </w:rPr>
        <w:t>对车辆的ISOFIX固定点系统进行试验的固定模块。用于验证在静态试验下，ISOFIX固定点系统的强度以及车辆或座椅结构限制翻转的能力。</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抗翻转装置  anti-rotation device</w:t>
      </w:r>
    </w:p>
    <w:p>
      <w:pPr>
        <w:pStyle w:val="59"/>
        <w:ind w:firstLine="420"/>
      </w:pPr>
      <w:r>
        <w:rPr>
          <w:rFonts w:hint="eastAsia"/>
        </w:rPr>
        <w:t>用于防止儿童约束系统沿车辆行进方向发生转动的装置。由以下部件组成：</w:t>
      </w:r>
    </w:p>
    <w:p>
      <w:pPr>
        <w:pStyle w:val="59"/>
        <w:ind w:firstLine="420"/>
      </w:pPr>
      <w:r>
        <w:rPr>
          <w:rFonts w:hint="eastAsia"/>
        </w:rPr>
        <w:t>——ISOFIX上拉带；或，</w:t>
      </w:r>
    </w:p>
    <w:p>
      <w:pPr>
        <w:pStyle w:val="59"/>
        <w:ind w:firstLine="420"/>
      </w:pPr>
      <w:r>
        <w:rPr>
          <w:rFonts w:hint="eastAsia"/>
        </w:rPr>
        <w:t>——支撑腿；</w:t>
      </w:r>
    </w:p>
    <w:p>
      <w:pPr>
        <w:pStyle w:val="182"/>
      </w:pPr>
      <w:r>
        <w:rPr>
          <w:rFonts w:hint="eastAsia"/>
        </w:rPr>
        <w:t>用于特殊车型用ISOFIX儿童约束系统的抗翻转装置，可采用上拉带、支撑腿或其他用于防止翻转的方式。对于ISOFIX、i-Size、通用类儿童约束系统，车辆座椅本身不构成抗翻转装置。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ISOFIX上拉带固定点  ISOFIX top tether anchorage</w:t>
      </w:r>
    </w:p>
    <w:p>
      <w:pPr>
        <w:pStyle w:val="59"/>
        <w:ind w:firstLine="420"/>
      </w:pPr>
      <w:r>
        <w:rPr>
          <w:rFonts w:hint="eastAsia"/>
        </w:rPr>
        <w:t>安装在规定区域，与ISOFIX上拉带连接件相联，并可把约束力传递到车辆结构上的构件。</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ISOFIX上连接件  ISOFIX top tether connector</w:t>
      </w:r>
    </w:p>
    <w:p>
      <w:pPr>
        <w:pStyle w:val="59"/>
        <w:ind w:firstLine="420"/>
      </w:pPr>
      <w:r>
        <w:rPr>
          <w:rFonts w:hint="eastAsia"/>
        </w:rPr>
        <w:t>与车辆上的ISOFIX上拉带固定点连接的装置。</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ISOFIX上拉带固定钩  ISOFIX top tether hook</w:t>
      </w:r>
    </w:p>
    <w:p>
      <w:pPr>
        <w:pStyle w:val="59"/>
        <w:ind w:firstLine="420"/>
      </w:pPr>
      <w:r>
        <w:rPr>
          <w:rFonts w:hint="eastAsia"/>
        </w:rPr>
        <w:t>一种典型的</w:t>
      </w:r>
      <w:r>
        <w:t>ISOFIX上部连接件，用于把ISOFIX上拉带安装到ISOFIX上拉带固定点</w:t>
      </w:r>
      <w:r>
        <w:rPr>
          <w:rFonts w:hint="eastAsia"/>
        </w:rPr>
        <w:t>（见图B</w:t>
      </w:r>
      <w:r>
        <w:t>.3</w:t>
      </w:r>
      <w:r>
        <w:rPr>
          <w:rFonts w:hint="eastAsia"/>
        </w:rPr>
        <w:t>）</w:t>
      </w:r>
      <w:r>
        <w:t>。</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ISOFIX上拉带  ISOFIX top tether strap</w:t>
      </w:r>
    </w:p>
    <w:p>
      <w:pPr>
        <w:pStyle w:val="59"/>
        <w:ind w:firstLine="420"/>
      </w:pPr>
      <w:r>
        <w:rPr>
          <w:rFonts w:hint="eastAsia"/>
        </w:rPr>
        <w:t>由</w:t>
      </w:r>
      <w:r>
        <w:t>ISOFIX儿童约束系统上部伸出到ISOFIX上拉带固定点之间的织带，带有一个调整装置，一个张力解除装置和一个ISOFIX</w:t>
      </w:r>
      <w:r>
        <w:rPr>
          <w:rFonts w:hint="eastAsia"/>
        </w:rPr>
        <w:t>上连接件。</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导向装置  guidance device</w:t>
      </w:r>
    </w:p>
    <w:p>
      <w:pPr>
        <w:pStyle w:val="59"/>
        <w:ind w:firstLine="420"/>
      </w:pPr>
      <w:r>
        <w:rPr>
          <w:rFonts w:hint="eastAsia"/>
        </w:rPr>
        <w:t>帮助人员安装ISOFIX儿童约束系统的装置，通过物理导向作用使ISOFIX儿童约束系统上的ISOFIX连接件正确地与ISOFIX下固定点对齐以使连接变得容易。</w:t>
      </w:r>
    </w:p>
    <w:p>
      <w:pPr>
        <w:pStyle w:val="226"/>
        <w:ind w:left="420" w:hanging="420" w:hangingChars="200"/>
        <w:rPr>
          <w:rFonts w:ascii="黑体" w:eastAsia="黑体"/>
        </w:rPr>
      </w:pPr>
      <w:r>
        <w:rPr>
          <w:rFonts w:ascii="黑体" w:hAnsi="黑体" w:eastAsia="黑体"/>
        </w:rPr>
        <w:br w:type="textWrapping"/>
      </w:r>
      <w:r>
        <w:rPr>
          <w:rFonts w:hint="eastAsia" w:ascii="黑体" w:eastAsia="黑体"/>
        </w:rPr>
        <w:t>儿童约束固定模块  child restraint fixture，C</w:t>
      </w:r>
      <w:r>
        <w:rPr>
          <w:rFonts w:ascii="黑体" w:eastAsia="黑体"/>
        </w:rPr>
        <w:t>RF</w:t>
      </w:r>
    </w:p>
    <w:p>
      <w:pPr>
        <w:pStyle w:val="59"/>
        <w:ind w:firstLine="420"/>
      </w:pPr>
      <w:r>
        <w:rPr>
          <w:rFonts w:hint="eastAsia"/>
        </w:rPr>
        <w:t>GB 14166</w:t>
      </w:r>
      <w:bookmarkStart w:id="47" w:name="_Toc67904491"/>
      <w:r>
        <w:rPr>
          <w:rFonts w:hint="eastAsia"/>
        </w:rPr>
        <w:t>中B.3.4规定的装置。特指G</w:t>
      </w:r>
      <w:r>
        <w:t>B 14166中图</w:t>
      </w:r>
      <w:r>
        <w:rPr>
          <w:rFonts w:hint="eastAsia"/>
        </w:rPr>
        <w:t>B</w:t>
      </w:r>
      <w:r>
        <w:t>.4</w:t>
      </w:r>
      <w:r>
        <w:rPr>
          <w:rFonts w:hint="eastAsia"/>
        </w:rPr>
        <w:t>到图B.10给出了尺寸的装置。用来检查儿童约束系统尺寸等级是否能够适用于车辆的</w:t>
      </w:r>
      <w:r>
        <w:t>ISOFIX</w:t>
      </w:r>
      <w:r>
        <w:rPr>
          <w:rFonts w:hint="eastAsia"/>
        </w:rPr>
        <w:t>位置。GB 14166中图B.5或图B</w:t>
      </w:r>
      <w:r>
        <w:t>.</w:t>
      </w:r>
      <w:r>
        <w:rPr>
          <w:rFonts w:hint="eastAsia"/>
        </w:rPr>
        <w:t>6</w:t>
      </w:r>
      <w:r>
        <w:t>描述的称为ISO/F2</w:t>
      </w:r>
      <w:r>
        <w:rPr>
          <w:rFonts w:hint="eastAsia"/>
        </w:rPr>
        <w:t>或</w:t>
      </w:r>
      <w:r>
        <w:t>ISO/F2</w:t>
      </w:r>
      <w:r>
        <w:rPr>
          <w:rFonts w:hint="eastAsia"/>
        </w:rPr>
        <w:t>X的</w:t>
      </w:r>
      <w:r>
        <w:t>CRF</w:t>
      </w:r>
      <w:r>
        <w:rPr>
          <w:rFonts w:hint="eastAsia"/>
        </w:rPr>
        <w:t>在本标准中用来检查</w:t>
      </w:r>
      <w:r>
        <w:t>ISOFIX</w:t>
      </w:r>
      <w:r>
        <w:rPr>
          <w:rFonts w:hint="eastAsia"/>
        </w:rPr>
        <w:t>固定点系统的位置和尺寸适应性。</w:t>
      </w:r>
      <w:bookmarkEnd w:id="47"/>
    </w:p>
    <w:p>
      <w:pPr>
        <w:pStyle w:val="226"/>
        <w:ind w:left="420" w:hanging="420" w:hangingChars="200"/>
        <w:rPr>
          <w:rFonts w:ascii="黑体" w:eastAsia="黑体"/>
          <w:szCs w:val="21"/>
        </w:rPr>
      </w:pPr>
      <w:r>
        <w:rPr>
          <w:rFonts w:ascii="黑体" w:hAnsi="黑体" w:eastAsia="黑体"/>
        </w:rPr>
        <w:br w:type="textWrapping"/>
      </w:r>
      <w:r>
        <w:rPr>
          <w:rFonts w:hint="eastAsia" w:ascii="黑体" w:eastAsia="黑体"/>
          <w:szCs w:val="21"/>
        </w:rPr>
        <w:t xml:space="preserve">支撑腿足部空间评价体 </w:t>
      </w:r>
      <w:r>
        <w:rPr>
          <w:rFonts w:hint="eastAsia"/>
          <w:szCs w:val="21"/>
        </w:rPr>
        <w:t xml:space="preserve"> </w:t>
      </w:r>
      <w:r>
        <w:rPr>
          <w:rFonts w:ascii="黑体" w:eastAsia="黑体"/>
          <w:szCs w:val="21"/>
        </w:rPr>
        <w:t>Support leg foot assessment volume</w:t>
      </w:r>
    </w:p>
    <w:p>
      <w:pPr>
        <w:pStyle w:val="59"/>
        <w:ind w:firstLine="420"/>
      </w:pPr>
      <w:r>
        <w:rPr>
          <w:rFonts w:hint="eastAsia"/>
        </w:rPr>
        <w:t>如附录</w:t>
      </w:r>
      <w:r>
        <w:t>H</w:t>
      </w:r>
      <w:r>
        <w:rPr>
          <w:rFonts w:hint="eastAsia"/>
        </w:rPr>
        <w:t>图</w:t>
      </w:r>
      <w:r>
        <w:t>H</w:t>
      </w:r>
      <w:r>
        <w:rPr>
          <w:rFonts w:hint="eastAsia"/>
        </w:rPr>
        <w:t>.1和图</w:t>
      </w:r>
      <w:r>
        <w:t>H</w:t>
      </w:r>
      <w:r>
        <w:rPr>
          <w:rFonts w:hint="eastAsia"/>
        </w:rPr>
        <w:t>.2所示的空间评价体，用于容纳GB 27887定义的i-Size儿童约束系统支撑腿的足部并与车辆地板相交。</w:t>
      </w:r>
    </w:p>
    <w:p>
      <w:pPr>
        <w:pStyle w:val="226"/>
        <w:ind w:left="420" w:hanging="420" w:hangingChars="200"/>
        <w:rPr>
          <w:rFonts w:ascii="黑体" w:eastAsia="黑体"/>
          <w:szCs w:val="21"/>
        </w:rPr>
      </w:pPr>
      <w:r>
        <w:rPr>
          <w:rFonts w:ascii="黑体" w:hAnsi="黑体" w:eastAsia="黑体"/>
        </w:rPr>
        <w:br w:type="textWrapping"/>
      </w:r>
      <w:r>
        <w:rPr>
          <w:rFonts w:hint="eastAsia" w:ascii="黑体" w:eastAsia="黑体"/>
          <w:szCs w:val="21"/>
        </w:rPr>
        <w:t xml:space="preserve">车辆地板接触表面 </w:t>
      </w:r>
      <w:r>
        <w:rPr>
          <w:rFonts w:ascii="黑体" w:eastAsia="黑体"/>
          <w:szCs w:val="21"/>
        </w:rPr>
        <w:t>Vehicle floor contact surface</w:t>
      </w:r>
    </w:p>
    <w:p>
      <w:pPr>
        <w:pStyle w:val="59"/>
        <w:ind w:firstLine="420"/>
        <w:rPr>
          <w:bCs/>
        </w:rPr>
      </w:pPr>
      <w:r>
        <w:rPr>
          <w:rFonts w:hint="eastAsia"/>
          <w:bCs/>
        </w:rPr>
        <w:t>车辆地板上表面（包括内饰、地毯、泡沫等）与支撑腿足部空间评价体相交而成的区域，用于承受GB 27887定义的i-Size儿童约束系统支撑腿产生的力。</w:t>
      </w:r>
    </w:p>
    <w:p>
      <w:pPr>
        <w:pStyle w:val="226"/>
        <w:ind w:left="420" w:hanging="420" w:hangingChars="200"/>
        <w:rPr>
          <w:rFonts w:ascii="黑体" w:eastAsia="黑体"/>
          <w:szCs w:val="21"/>
        </w:rPr>
      </w:pPr>
      <w:r>
        <w:rPr>
          <w:rFonts w:ascii="黑体" w:hAnsi="黑体" w:eastAsia="黑体"/>
        </w:rPr>
        <w:br w:type="textWrapping"/>
      </w:r>
      <w:r>
        <w:rPr>
          <w:rFonts w:hint="eastAsia" w:ascii="黑体" w:eastAsia="黑体"/>
          <w:szCs w:val="21"/>
        </w:rPr>
        <w:t xml:space="preserve">i-Size乘坐位置 </w:t>
      </w:r>
      <w:r>
        <w:rPr>
          <w:rFonts w:ascii="黑体" w:eastAsia="黑体"/>
          <w:szCs w:val="21"/>
        </w:rPr>
        <w:t>i-Size seating position</w:t>
      </w:r>
    </w:p>
    <w:p>
      <w:pPr>
        <w:pStyle w:val="59"/>
        <w:ind w:firstLine="420"/>
      </w:pPr>
      <w:r>
        <w:rPr>
          <w:rFonts w:hint="eastAsia"/>
        </w:rPr>
        <w:t>由车辆制造商定义且符合本文件要求的乘坐位置，用于安装符合GB 27887定义的i-size儿童约束系统。</w:t>
      </w:r>
    </w:p>
    <w:p>
      <w:pPr>
        <w:pStyle w:val="107"/>
        <w:spacing w:before="312" w:after="312"/>
      </w:pPr>
      <w:bookmarkStart w:id="48" w:name="_Toc307323619"/>
      <w:bookmarkStart w:id="49" w:name="_Toc327802973"/>
      <w:bookmarkStart w:id="50" w:name="_Toc327803257"/>
      <w:bookmarkStart w:id="51" w:name="_Toc282199376"/>
      <w:bookmarkStart w:id="52" w:name="_Toc277059189"/>
      <w:bookmarkStart w:id="53" w:name="_Toc327905580"/>
      <w:bookmarkStart w:id="54" w:name="_Toc337675067"/>
      <w:bookmarkStart w:id="55" w:name="_Toc51404741"/>
      <w:bookmarkStart w:id="56" w:name="_Toc327803365"/>
      <w:bookmarkStart w:id="57" w:name="_Toc276822172"/>
      <w:bookmarkStart w:id="58" w:name="_Toc276987342"/>
      <w:bookmarkStart w:id="59" w:name="_Toc277061650"/>
      <w:bookmarkStart w:id="60" w:name="_Toc279473123"/>
      <w:bookmarkStart w:id="61" w:name="_Toc282778224"/>
      <w:bookmarkStart w:id="62" w:name="_Toc96705336"/>
      <w:bookmarkStart w:id="63" w:name="_Toc78142663"/>
      <w:r>
        <w:rPr>
          <w:rFonts w:hint="eastAsia"/>
        </w:rPr>
        <w:t>技术要求</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108"/>
        <w:spacing w:before="156" w:after="156"/>
        <w:ind w:left="0"/>
      </w:pPr>
      <w:bookmarkStart w:id="64" w:name="_Toc307323620"/>
      <w:bookmarkStart w:id="65" w:name="_Toc279473124"/>
      <w:bookmarkStart w:id="66" w:name="_Toc327802974"/>
      <w:bookmarkStart w:id="67" w:name="_Toc276822173"/>
      <w:bookmarkStart w:id="68" w:name="_Toc337675068"/>
      <w:bookmarkStart w:id="69" w:name="_Toc78142664"/>
      <w:bookmarkStart w:id="70" w:name="_Toc277059190"/>
      <w:bookmarkStart w:id="71" w:name="_Toc276987343"/>
      <w:bookmarkStart w:id="72" w:name="_Toc282778225"/>
      <w:bookmarkStart w:id="73" w:name="_Toc327803258"/>
      <w:bookmarkStart w:id="74" w:name="_Toc327803366"/>
      <w:bookmarkStart w:id="75" w:name="_Toc327905581"/>
      <w:bookmarkStart w:id="76" w:name="_Toc277061651"/>
      <w:bookmarkStart w:id="77" w:name="_Ref276823087"/>
      <w:bookmarkStart w:id="78" w:name="_Toc282199377"/>
      <w:r>
        <w:rPr>
          <w:rFonts w:hint="eastAsia"/>
        </w:rPr>
        <w:t>一般要求</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68"/>
        <w:spacing w:before="0" w:beforeLines="0" w:after="0" w:afterLines="0"/>
        <w:rPr>
          <w:rFonts w:ascii="宋体" w:hAnsi="宋体" w:eastAsia="宋体"/>
        </w:rPr>
      </w:pPr>
      <w:r>
        <w:rPr>
          <w:rFonts w:hint="eastAsia" w:ascii="宋体" w:hAnsi="宋体" w:eastAsia="宋体"/>
        </w:rPr>
        <w:t>安全带固定点的设计、制造和布置应符合下列要求：</w:t>
      </w:r>
    </w:p>
    <w:p>
      <w:pPr>
        <w:pStyle w:val="238"/>
        <w:numPr>
          <w:ilvl w:val="0"/>
          <w:numId w:val="34"/>
        </w:numPr>
        <w:tabs>
          <w:tab w:val="left" w:pos="851"/>
        </w:tabs>
        <w:ind w:left="839" w:hanging="419"/>
        <w:rPr>
          <w:rFonts w:ascii="黑体" w:eastAsia="黑体"/>
        </w:rPr>
      </w:pPr>
      <w:r>
        <w:rPr>
          <w:rFonts w:hint="eastAsia"/>
        </w:rPr>
        <w:t>应能安装合适的安全带。前排外侧座椅的安全带固定点（特别是在强度方面）应适合于安装具有卷收器和导向件的安全带；车辆装有其他型式的带卷收器的安全带除外。如果固定点仅适用于某些特殊型式的安全带，这类安全带的型式应在检测报告中注明；</w:t>
      </w:r>
    </w:p>
    <w:p>
      <w:pPr>
        <w:pStyle w:val="238"/>
        <w:numPr>
          <w:ilvl w:val="0"/>
          <w:numId w:val="34"/>
        </w:numPr>
        <w:tabs>
          <w:tab w:val="left" w:pos="851"/>
        </w:tabs>
        <w:ind w:left="839" w:hanging="419"/>
        <w:rPr>
          <w:rFonts w:ascii="黑体" w:eastAsia="黑体"/>
        </w:rPr>
      </w:pPr>
      <w:r>
        <w:rPr>
          <w:rFonts w:hint="eastAsia"/>
        </w:rPr>
        <w:t>正确佩戴时安全带应无滑脱的危险；</w:t>
      </w:r>
    </w:p>
    <w:p>
      <w:pPr>
        <w:pStyle w:val="238"/>
        <w:numPr>
          <w:ilvl w:val="0"/>
          <w:numId w:val="34"/>
        </w:numPr>
        <w:tabs>
          <w:tab w:val="left" w:pos="851"/>
        </w:tabs>
        <w:ind w:left="839" w:hanging="419"/>
        <w:rPr>
          <w:rFonts w:ascii="黑体" w:eastAsia="黑体"/>
        </w:rPr>
      </w:pPr>
      <w:r>
        <w:rPr>
          <w:rFonts w:hint="eastAsia"/>
        </w:rPr>
        <w:t>织带与车辆或座椅结构上的凸出尖锐的刚性零件接触应无损伤织带的危险；</w:t>
      </w:r>
    </w:p>
    <w:p>
      <w:pPr>
        <w:pStyle w:val="238"/>
        <w:numPr>
          <w:ilvl w:val="0"/>
          <w:numId w:val="34"/>
        </w:numPr>
        <w:tabs>
          <w:tab w:val="left" w:pos="851"/>
        </w:tabs>
        <w:ind w:left="839" w:hanging="419"/>
        <w:rPr>
          <w:rFonts w:ascii="黑体" w:eastAsia="黑体"/>
        </w:rPr>
      </w:pPr>
      <w:r>
        <w:rPr>
          <w:rFonts w:hint="eastAsia"/>
        </w:rPr>
        <w:t>对于可改变位置的固定点（该固定点既便于乘员进入车辆，且能约束乘员），本文件中的规定应适用于处于有效约束位置时的固定点。</w:t>
      </w:r>
    </w:p>
    <w:p>
      <w:pPr>
        <w:pStyle w:val="68"/>
        <w:spacing w:before="0" w:beforeLines="0" w:after="0" w:afterLines="0"/>
        <w:rPr>
          <w:rFonts w:ascii="宋体" w:hAnsi="宋体" w:eastAsia="宋体"/>
        </w:rPr>
      </w:pPr>
      <w:bookmarkStart w:id="79" w:name="_Ref276825320"/>
      <w:r>
        <w:rPr>
          <w:rFonts w:hint="eastAsia" w:ascii="宋体" w:hAnsi="宋体" w:eastAsia="宋体"/>
        </w:rPr>
        <w:t>所有用于安装ISOFIX 儿童约束系统的ISOFIX</w:t>
      </w:r>
      <w:bookmarkStart w:id="80" w:name="OLE_LINK2"/>
      <w:r>
        <w:rPr>
          <w:rFonts w:hint="eastAsia" w:ascii="宋体" w:hAnsi="宋体" w:eastAsia="宋体"/>
        </w:rPr>
        <w:t>固定点</w:t>
      </w:r>
      <w:bookmarkStart w:id="81" w:name="OLE_LINK5"/>
      <w:r>
        <w:rPr>
          <w:rFonts w:hint="eastAsia" w:ascii="宋体" w:hAnsi="宋体" w:eastAsia="宋体"/>
        </w:rPr>
        <w:t>系统</w:t>
      </w:r>
      <w:bookmarkEnd w:id="81"/>
      <w:r>
        <w:rPr>
          <w:rFonts w:hint="eastAsia" w:ascii="宋体" w:hAnsi="宋体" w:eastAsia="宋体"/>
        </w:rPr>
        <w:t>、ISOFIX上拉带固定点</w:t>
      </w:r>
      <w:bookmarkEnd w:id="80"/>
      <w:r>
        <w:rPr>
          <w:rFonts w:hint="eastAsia" w:ascii="宋体" w:hAnsi="宋体" w:eastAsia="宋体"/>
        </w:rPr>
        <w:t>以及所有i-Size乘坐位置的车辆地板接触表面，应设计、制造和布置为：</w:t>
      </w:r>
      <w:bookmarkEnd w:id="79"/>
    </w:p>
    <w:p>
      <w:pPr>
        <w:pStyle w:val="177"/>
        <w:numPr>
          <w:ilvl w:val="0"/>
          <w:numId w:val="35"/>
        </w:numPr>
      </w:pPr>
      <w:r>
        <w:rPr>
          <w:rFonts w:hint="eastAsia"/>
        </w:rPr>
        <w:t>保证车辆在正常使用时，满足本文件的要求。能加装在任意车辆上的固定点系统和ISOFIX上拉带固定点，也应满足本文件的要求。同时在相关申请文件中应有对固定点系统的描述；</w:t>
      </w:r>
    </w:p>
    <w:p>
      <w:pPr>
        <w:pStyle w:val="238"/>
        <w:numPr>
          <w:ilvl w:val="0"/>
          <w:numId w:val="34"/>
        </w:numPr>
        <w:tabs>
          <w:tab w:val="left" w:pos="851"/>
        </w:tabs>
        <w:ind w:left="839" w:hanging="419"/>
      </w:pPr>
      <w:r>
        <w:rPr>
          <w:rFonts w:hint="eastAsia"/>
        </w:rPr>
        <w:t>固定点系统和ISOFIX上拉带固定点系统强度设计应满足GB 27887中定义的质量组为0组、0+组、I组的ISOFIX儿童约束系统；</w:t>
      </w:r>
    </w:p>
    <w:p>
      <w:pPr>
        <w:pStyle w:val="177"/>
      </w:pPr>
      <w:r>
        <w:rPr>
          <w:rFonts w:hint="eastAsia"/>
        </w:rPr>
        <w:t>ISOFIX固定点系统、ISOFIX上拉带固定点以及i-Size乘坐位置的车辆地板接触表面的设计应满足GB 27887定义的整体式i-Size儿童约束系统。</w:t>
      </w:r>
    </w:p>
    <w:p>
      <w:pPr>
        <w:pStyle w:val="68"/>
        <w:spacing w:before="0" w:beforeLines="0" w:after="0" w:afterLines="0"/>
        <w:rPr>
          <w:rFonts w:ascii="宋体" w:hAnsi="宋体" w:eastAsia="宋体"/>
        </w:rPr>
      </w:pPr>
      <w:bookmarkStart w:id="82" w:name="_Ref276825324"/>
      <w:r>
        <w:rPr>
          <w:rFonts w:hint="eastAsia" w:ascii="宋体" w:hAnsi="宋体" w:eastAsia="宋体"/>
        </w:rPr>
        <w:t>ISOFIX固定点系统的设计和布置应符合以下要求：</w:t>
      </w:r>
      <w:bookmarkEnd w:id="82"/>
    </w:p>
    <w:p>
      <w:pPr>
        <w:pStyle w:val="177"/>
        <w:numPr>
          <w:ilvl w:val="0"/>
          <w:numId w:val="36"/>
        </w:numPr>
      </w:pPr>
      <w:r>
        <w:rPr>
          <w:rFonts w:hint="eastAsia"/>
        </w:rPr>
        <w:t>应有两个直径为6 mm±0.1 mm的横向水平刚性杆件，两杆件最小有效长度为25 mm，且两杆件同轴，如附录</w:t>
      </w:r>
      <w:r>
        <w:t>A图</w:t>
      </w:r>
      <w:r>
        <w:rPr>
          <w:rFonts w:hint="eastAsia"/>
        </w:rPr>
        <w:t>A</w:t>
      </w:r>
      <w:r>
        <w:t>.4</w:t>
      </w:r>
      <w:r>
        <w:rPr>
          <w:rFonts w:hint="eastAsia"/>
        </w:rPr>
        <w:t>所示。</w:t>
      </w:r>
    </w:p>
    <w:p>
      <w:pPr>
        <w:pStyle w:val="238"/>
        <w:numPr>
          <w:ilvl w:val="0"/>
          <w:numId w:val="34"/>
        </w:numPr>
        <w:tabs>
          <w:tab w:val="left" w:pos="851"/>
        </w:tabs>
        <w:ind w:left="839" w:hanging="419"/>
      </w:pPr>
      <w:r>
        <w:rPr>
          <w:rFonts w:hint="eastAsia"/>
        </w:rPr>
        <w:t>安装在车辆乘坐位置上的所有ISOFIX固定点系统，应位于距按G</w:t>
      </w:r>
      <w:r>
        <w:t>B 11551</w:t>
      </w:r>
      <w:r>
        <w:rPr>
          <w:rFonts w:hint="eastAsia"/>
        </w:rPr>
        <w:t>-</w:t>
      </w:r>
      <w:r>
        <w:t>2014中附录</w:t>
      </w:r>
      <w:r>
        <w:rPr>
          <w:rFonts w:hint="eastAsia"/>
        </w:rPr>
        <w:t>A确定的H点之后不小于120 mm处（水平测量至杆件中心）。</w:t>
      </w:r>
    </w:p>
    <w:p>
      <w:pPr>
        <w:pStyle w:val="238"/>
        <w:numPr>
          <w:ilvl w:val="0"/>
          <w:numId w:val="34"/>
        </w:numPr>
        <w:tabs>
          <w:tab w:val="left" w:pos="851"/>
        </w:tabs>
        <w:ind w:left="839" w:hanging="419"/>
      </w:pPr>
      <w:r>
        <w:rPr>
          <w:rFonts w:hint="eastAsia"/>
        </w:rPr>
        <w:t>对所有安装在车辆上的ISOFIX固定点系统，应保证能安装</w:t>
      </w:r>
      <w:bookmarkStart w:id="83" w:name="OLE_LINK4"/>
      <w:r>
        <w:rPr>
          <w:rFonts w:hint="eastAsia"/>
        </w:rPr>
        <w:t>GB14166中附录B图</w:t>
      </w:r>
      <w:bookmarkEnd w:id="83"/>
      <w:r>
        <w:rPr>
          <w:rFonts w:hint="eastAsia"/>
        </w:rPr>
        <w:t>B.5或图B.6中描述的ISOFIX儿童约束固定模块ISO/F2 或ISO/F2X。i-Size乘坐位置应保证能安装GB14166中附录B描述的具有支撑腿的ISO/F2X和ISO/R2类别的ISOFIX儿童约束固定模块。另外，i-size乘坐位置还应保证能安装</w:t>
      </w:r>
      <w:r>
        <w:t>GB14166</w:t>
      </w:r>
      <w:r>
        <w:rPr>
          <w:rFonts w:hint="eastAsia"/>
        </w:rPr>
        <w:t>描述的ISO/B2类别的ISOFIX儿童约束固定模块。</w:t>
      </w:r>
    </w:p>
    <w:p>
      <w:pPr>
        <w:pStyle w:val="238"/>
        <w:numPr>
          <w:ilvl w:val="0"/>
          <w:numId w:val="34"/>
        </w:numPr>
        <w:tabs>
          <w:tab w:val="left" w:pos="851"/>
        </w:tabs>
        <w:ind w:left="839" w:hanging="419"/>
      </w:pPr>
      <w:r>
        <w:rPr>
          <w:rFonts w:hint="eastAsia"/>
        </w:rPr>
        <w:t>GB 14166附录B中图B.5或图B.6定义的固定模块ISO/F2 或ISO/F2X的底面倾斜角度如下，其倾斜角度的测量相对于附录</w:t>
      </w:r>
      <w:r>
        <w:t>B中图</w:t>
      </w:r>
      <w:r>
        <w:rPr>
          <w:rFonts w:hint="eastAsia"/>
        </w:rPr>
        <w:t>B</w:t>
      </w:r>
      <w:r>
        <w:t>.3</w:t>
      </w:r>
      <w:r>
        <w:rPr>
          <w:rFonts w:hint="eastAsia"/>
        </w:rPr>
        <w:t>定义的车辆参考平面：</w:t>
      </w:r>
    </w:p>
    <w:p>
      <w:pPr>
        <w:pStyle w:val="237"/>
        <w:numPr>
          <w:ilvl w:val="0"/>
          <w:numId w:val="37"/>
        </w:numPr>
        <w:ind w:left="1259"/>
      </w:pPr>
      <w:r>
        <w:rPr>
          <w:rFonts w:hint="eastAsia"/>
        </w:rPr>
        <w:t>前后倾斜角度：1</w:t>
      </w:r>
      <w:r>
        <w:rPr>
          <w:rFonts w:hint="eastAsia" w:hAnsi="宋体"/>
        </w:rPr>
        <w:t>5</w:t>
      </w:r>
      <w:r>
        <w:t>˚</w:t>
      </w:r>
      <w:r>
        <w:rPr>
          <w:rFonts w:hint="eastAsia"/>
        </w:rPr>
        <w:t>±10</w:t>
      </w:r>
      <w:r>
        <w:t>˚</w:t>
      </w:r>
      <w:r>
        <w:rPr>
          <w:rFonts w:hint="eastAsia"/>
        </w:rPr>
        <w:t>；</w:t>
      </w:r>
    </w:p>
    <w:p>
      <w:pPr>
        <w:pStyle w:val="237"/>
        <w:numPr>
          <w:ilvl w:val="0"/>
          <w:numId w:val="37"/>
        </w:numPr>
        <w:ind w:left="1259"/>
      </w:pPr>
      <w:r>
        <w:rPr>
          <w:rFonts w:hint="eastAsia"/>
        </w:rPr>
        <w:t>左右偏离角度：0</w:t>
      </w:r>
      <w:r>
        <w:t>˚</w:t>
      </w:r>
      <w:r>
        <w:rPr>
          <w:rFonts w:hint="eastAsia"/>
        </w:rPr>
        <w:t>±5</w:t>
      </w:r>
      <w:r>
        <w:t>˚</w:t>
      </w:r>
      <w:r>
        <w:rPr>
          <w:rFonts w:hint="eastAsia"/>
        </w:rPr>
        <w:t>；</w:t>
      </w:r>
    </w:p>
    <w:p>
      <w:pPr>
        <w:pStyle w:val="237"/>
        <w:numPr>
          <w:ilvl w:val="0"/>
          <w:numId w:val="37"/>
        </w:numPr>
        <w:ind w:left="1259"/>
      </w:pPr>
      <w:r>
        <w:rPr>
          <w:rFonts w:hint="eastAsia"/>
        </w:rPr>
        <w:t>翻转角度：0</w:t>
      </w:r>
      <w:r>
        <w:t>˚</w:t>
      </w:r>
      <w:r>
        <w:rPr>
          <w:rFonts w:hint="eastAsia"/>
        </w:rPr>
        <w:t>±10</w:t>
      </w:r>
      <w:r>
        <w:t>˚</w:t>
      </w:r>
      <w:r>
        <w:rPr>
          <w:rFonts w:hint="eastAsia"/>
        </w:rPr>
        <w:t>。</w:t>
      </w:r>
    </w:p>
    <w:p>
      <w:pPr>
        <w:pStyle w:val="237"/>
        <w:numPr>
          <w:ilvl w:val="0"/>
          <w:numId w:val="0"/>
        </w:numPr>
        <w:ind w:firstLine="360" w:firstLineChars="200"/>
        <w:rPr>
          <w:sz w:val="18"/>
        </w:rPr>
      </w:pPr>
      <w:r>
        <w:rPr>
          <w:sz w:val="18"/>
        </w:rPr>
        <w:t>注</w:t>
      </w:r>
      <w:r>
        <w:rPr>
          <w:rFonts w:hint="eastAsia"/>
          <w:sz w:val="18"/>
        </w:rPr>
        <w:t>：对于i-Size乘坐位置，在不超过上述规定限值的情况下，允许支撑腿在最短长度时相较于由车辆座椅或结构形成的前后倾斜角度的增大。在增大角度后的情况下应能安装ISOFIX儿童约束固定模块。该规定不适用于ISO/B2类别的ISOFIX儿童约束固定模块。</w:t>
      </w:r>
    </w:p>
    <w:p>
      <w:pPr>
        <w:pStyle w:val="238"/>
        <w:numPr>
          <w:ilvl w:val="0"/>
          <w:numId w:val="34"/>
        </w:numPr>
        <w:tabs>
          <w:tab w:val="left" w:pos="851"/>
        </w:tabs>
        <w:ind w:left="839" w:hanging="419"/>
      </w:pPr>
      <w:r>
        <w:rPr>
          <w:rFonts w:hint="eastAsia"/>
        </w:rPr>
        <w:t>ISOFIX固定点系统位置应是永久固定的,也可被隐藏。对可隐藏的固定点，在正常使用时应满足ISOFIX固定点系统的相应要求。</w:t>
      </w:r>
    </w:p>
    <w:p>
      <w:pPr>
        <w:pStyle w:val="238"/>
        <w:numPr>
          <w:ilvl w:val="0"/>
          <w:numId w:val="34"/>
        </w:numPr>
        <w:tabs>
          <w:tab w:val="left" w:pos="851"/>
        </w:tabs>
        <w:ind w:left="839" w:hanging="419"/>
      </w:pPr>
      <w:r>
        <w:rPr>
          <w:rFonts w:hint="eastAsia"/>
        </w:rPr>
        <w:t>每个ISOFIX下固定点杆件(在正常使用时)或每个永久固定导向装置，在无座垫和靠背遮挡时；沿通过杆件或导向装置中点的垂直纵向平面，沿水平面向上30</w:t>
      </w:r>
      <w:r>
        <w:rPr>
          <w:rFonts w:ascii="Times New Roman"/>
        </w:rPr>
        <w:t>˚</w:t>
      </w:r>
      <w:r>
        <w:rPr>
          <w:rFonts w:hint="eastAsia"/>
        </w:rPr>
        <w:t>方向应清晰可见。或者，车辆上每个下固定点杆件和导向装置附近都应有永久性标识。</w:t>
      </w:r>
      <w:r>
        <w:rPr>
          <w:rFonts w:hint="eastAsia" w:cs="宋体"/>
        </w:rPr>
        <w:t>标识由制造商选择下列形式之一</w:t>
      </w:r>
      <w:r>
        <w:rPr>
          <w:rFonts w:hint="eastAsia"/>
        </w:rPr>
        <w:t>:</w:t>
      </w:r>
    </w:p>
    <w:p>
      <w:pPr>
        <w:pStyle w:val="237"/>
        <w:numPr>
          <w:ilvl w:val="0"/>
          <w:numId w:val="38"/>
        </w:numPr>
        <w:ind w:left="1259"/>
      </w:pPr>
      <w:r>
        <w:rPr>
          <w:rFonts w:hint="eastAsia"/>
        </w:rPr>
        <w:t>如附录</w:t>
      </w:r>
      <w:r>
        <w:t>A图</w:t>
      </w:r>
      <w:r>
        <w:rPr>
          <w:rFonts w:hint="eastAsia"/>
        </w:rPr>
        <w:t>A</w:t>
      </w:r>
      <w:r>
        <w:t>.12</w:t>
      </w:r>
      <w:r>
        <w:rPr>
          <w:rFonts w:hint="eastAsia"/>
        </w:rPr>
        <w:t>所示，为直径不小于</w:t>
      </w:r>
      <w:r>
        <w:t>13 mm</w:t>
      </w:r>
      <w:r>
        <w:rPr>
          <w:rFonts w:hint="eastAsia"/>
        </w:rPr>
        <w:t>的圆形图标，且图标应与其背景有鲜明的对比，</w:t>
      </w:r>
      <w:r>
        <w:rPr>
          <w:rFonts w:hint="eastAsia" w:cs="宋体"/>
        </w:rPr>
        <w:t>图标</w:t>
      </w:r>
      <w:r>
        <w:rPr>
          <w:rFonts w:hint="eastAsia"/>
        </w:rPr>
        <w:t>应靠近</w:t>
      </w:r>
      <w:r>
        <w:rPr>
          <w:rFonts w:hint="eastAsia" w:cs="宋体"/>
        </w:rPr>
        <w:t>每个</w:t>
      </w:r>
      <w:r>
        <w:rPr>
          <w:rFonts w:hint="eastAsia"/>
        </w:rPr>
        <w:t>固定点系统的杆件</w:t>
      </w:r>
      <w:r>
        <w:rPr>
          <w:rFonts w:hint="eastAsia" w:cs="宋体"/>
        </w:rPr>
        <w:t>位置；</w:t>
      </w:r>
    </w:p>
    <w:p>
      <w:pPr>
        <w:pStyle w:val="237"/>
        <w:numPr>
          <w:ilvl w:val="0"/>
          <w:numId w:val="38"/>
        </w:numPr>
        <w:ind w:left="1259"/>
      </w:pPr>
      <w:r>
        <w:rPr>
          <w:rFonts w:hint="eastAsia"/>
        </w:rPr>
        <w:t>大写字</w:t>
      </w:r>
      <w:r>
        <w:rPr>
          <w:rFonts w:hint="eastAsia" w:cs="宋体"/>
        </w:rPr>
        <w:t>母</w:t>
      </w:r>
      <w:r>
        <w:rPr>
          <w:rFonts w:hint="eastAsia"/>
        </w:rPr>
        <w:t>“ISOFIX”的字高不小于6 mm。</w:t>
      </w:r>
    </w:p>
    <w:p>
      <w:pPr>
        <w:pStyle w:val="177"/>
      </w:pPr>
      <w:r>
        <w:rPr>
          <w:rFonts w:hint="eastAsia"/>
        </w:rPr>
        <w:t>上述f）的规定不适用于i-Size乘坐位置。i-Size乘坐位置应按照4.1.5.1进行标识。</w:t>
      </w:r>
    </w:p>
    <w:p>
      <w:pPr>
        <w:pStyle w:val="68"/>
        <w:spacing w:before="0" w:beforeLines="0" w:after="0" w:afterLines="0"/>
        <w:rPr>
          <w:rFonts w:ascii="宋体" w:hAnsi="宋体" w:eastAsia="宋体"/>
        </w:rPr>
      </w:pPr>
      <w:bookmarkStart w:id="84" w:name="_Ref276823452"/>
      <w:r>
        <w:rPr>
          <w:rFonts w:hint="eastAsia" w:ascii="宋体" w:hAnsi="宋体" w:eastAsia="宋体"/>
        </w:rPr>
        <w:t>ISOFIX上拉带固定点的设计和</w:t>
      </w:r>
      <w:r>
        <w:rPr>
          <w:rFonts w:hint="eastAsia" w:ascii="宋体" w:hAnsi="宋体" w:eastAsia="宋体" w:cs="宋体"/>
        </w:rPr>
        <w:t>布置</w:t>
      </w:r>
      <w:r>
        <w:rPr>
          <w:rFonts w:hint="eastAsia" w:ascii="宋体" w:hAnsi="宋体" w:eastAsia="宋体"/>
        </w:rPr>
        <w:t>应符合以下要求：</w:t>
      </w:r>
      <w:bookmarkEnd w:id="84"/>
    </w:p>
    <w:p>
      <w:pPr>
        <w:pStyle w:val="177"/>
        <w:numPr>
          <w:ilvl w:val="0"/>
          <w:numId w:val="39"/>
        </w:numPr>
      </w:pPr>
      <w:r>
        <w:rPr>
          <w:rFonts w:hint="eastAsia"/>
        </w:rPr>
        <w:t>汽车制造商可选择采用</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_Ref276823458 \r \h</w:instrText>
      </w:r>
      <w:r>
        <w:instrText xml:space="preserve">  \* MERGEFORMAT </w:instrText>
      </w:r>
      <w:r>
        <w:fldChar w:fldCharType="separate"/>
      </w:r>
      <w:r>
        <w:t>b)</w:t>
      </w:r>
      <w:r>
        <w:fldChar w:fldCharType="end"/>
      </w:r>
      <w:r>
        <w:rPr>
          <w:rFonts w:hint="eastAsia"/>
        </w:rPr>
        <w:t>和</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_Ref276823488 \r \h</w:instrText>
      </w:r>
      <w:r>
        <w:instrText xml:space="preserve">  \* MERGEFORMAT </w:instrText>
      </w:r>
      <w:r>
        <w:fldChar w:fldCharType="separate"/>
      </w:r>
      <w:r>
        <w:t>c)</w:t>
      </w:r>
      <w:r>
        <w:fldChar w:fldCharType="end"/>
      </w:r>
      <w:r>
        <w:rPr>
          <w:rFonts w:hint="eastAsia"/>
        </w:rPr>
        <w:t>两种方式之一。</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_Ref276823458 \r \h</w:instrText>
      </w:r>
      <w:r>
        <w:instrText xml:space="preserve">  \* MERGEFORMAT </w:instrText>
      </w:r>
      <w:r>
        <w:fldChar w:fldCharType="separate"/>
      </w:r>
      <w:r>
        <w:t>b)</w:t>
      </w:r>
      <w:r>
        <w:fldChar w:fldCharType="end"/>
      </w:r>
      <w:r>
        <w:rPr>
          <w:rFonts w:hint="eastAsia"/>
        </w:rPr>
        <w:t>仅适用</w:t>
      </w:r>
      <w:r>
        <w:t>ISOFIX</w:t>
      </w:r>
      <w:r>
        <w:rPr>
          <w:rFonts w:hint="eastAsia"/>
        </w:rPr>
        <w:t>位置在座椅上的情况。</w:t>
      </w:r>
    </w:p>
    <w:p>
      <w:pPr>
        <w:pStyle w:val="177"/>
      </w:pPr>
      <w:bookmarkStart w:id="85" w:name="_Ref276823458"/>
      <w:r>
        <w:rPr>
          <w:rFonts w:hint="eastAsia"/>
        </w:rPr>
        <w:t>按</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_Ref334445432 \r \h</w:instrText>
      </w:r>
      <w:r>
        <w:instrText xml:space="preserve">  \* MERGEFORMAT </w:instrText>
      </w:r>
      <w:r>
        <w:fldChar w:fldCharType="separate"/>
      </w:r>
      <w:r>
        <w:t>d)</w:t>
      </w:r>
      <w:r>
        <w:fldChar w:fldCharType="end"/>
      </w:r>
      <w:r>
        <w:rPr>
          <w:rFonts w:hint="eastAsia"/>
        </w:rPr>
        <w:t>和</w:t>
      </w:r>
      <w:r>
        <w:fldChar w:fldCharType="begin"/>
      </w:r>
      <w:r>
        <w:instrText xml:space="preserve"> REF _Ref327869901 \r \h  \* MERGEFORMAT </w:instrText>
      </w:r>
      <w:r>
        <w:fldChar w:fldCharType="separate"/>
      </w:r>
      <w:r>
        <w:t>e)</w:t>
      </w:r>
      <w:r>
        <w:fldChar w:fldCharType="end"/>
      </w:r>
      <w:r>
        <w:rPr>
          <w:rFonts w:hint="eastAsia"/>
        </w:rPr>
        <w:t>要求，在设计乘坐位置上，与</w:t>
      </w:r>
      <w:r>
        <w:t>ISOFIX</w:t>
      </w:r>
      <w:r>
        <w:rPr>
          <w:rFonts w:hint="eastAsia"/>
        </w:rPr>
        <w:t>上拉带连接件相联接的</w:t>
      </w:r>
      <w:r>
        <w:t>ISOFIX</w:t>
      </w:r>
      <w:r>
        <w:rPr>
          <w:rFonts w:hint="eastAsia"/>
        </w:rPr>
        <w:t>上拉带固定点距离肩部基准点应不大于</w:t>
      </w:r>
      <w:r>
        <w:t>2</w:t>
      </w:r>
      <w:r>
        <w:rPr>
          <w:rFonts w:hint="eastAsia"/>
        </w:rPr>
        <w:t xml:space="preserve"> </w:t>
      </w:r>
      <w:r>
        <w:t>000 mm</w:t>
      </w:r>
      <w:r>
        <w:rPr>
          <w:rFonts w:hint="eastAsia"/>
        </w:rPr>
        <w:t>，且在阴影区之内，如</w:t>
      </w:r>
      <w:r>
        <w:fldChar w:fldCharType="begin"/>
      </w:r>
      <w:r>
        <w:instrText xml:space="preserve"> </w:instrText>
      </w:r>
      <w:r>
        <w:rPr>
          <w:rFonts w:hint="eastAsia"/>
        </w:rPr>
        <w:instrText xml:space="preserve">REF _Ref276823247 \r \h</w:instrText>
      </w:r>
      <w:r>
        <w:instrText xml:space="preserve">  \* MERGEFORMAT </w:instrText>
      </w:r>
      <w:r>
        <w:fldChar w:fldCharType="separate"/>
      </w:r>
      <w:r>
        <w:rPr>
          <w:rFonts w:hint="eastAsia"/>
          <w:b/>
          <w:bCs/>
        </w:rPr>
        <w:t>错误!未找到引用源。</w:t>
      </w:r>
      <w:r>
        <w:fldChar w:fldCharType="end"/>
      </w:r>
      <w:r>
        <w:rPr>
          <w:rFonts w:hint="eastAsia"/>
        </w:rPr>
        <w:t>所示，图A</w:t>
      </w:r>
      <w:r>
        <w:t xml:space="preserve">.5 </w:t>
      </w:r>
      <w:r>
        <w:rPr>
          <w:rFonts w:hint="eastAsia"/>
        </w:rPr>
        <w:t>所示二维模板的安放应按下列条件:</w:t>
      </w:r>
      <w:bookmarkEnd w:id="85"/>
    </w:p>
    <w:p>
      <w:pPr>
        <w:pStyle w:val="237"/>
        <w:numPr>
          <w:ilvl w:val="0"/>
          <w:numId w:val="40"/>
        </w:numPr>
        <w:ind w:left="1259"/>
      </w:pPr>
      <w:r>
        <w:rPr>
          <w:rFonts w:hint="eastAsia"/>
        </w:rPr>
        <w:t>模板的H点位于座椅调至最下和最后位置时确定的H点，除非模板位于两ISOFIX下固定点横向中线处；</w:t>
      </w:r>
    </w:p>
    <w:p>
      <w:pPr>
        <w:pStyle w:val="237"/>
        <w:numPr>
          <w:ilvl w:val="0"/>
          <w:numId w:val="40"/>
        </w:numPr>
        <w:ind w:left="1259"/>
      </w:pPr>
      <w:r>
        <w:rPr>
          <w:rStyle w:val="239"/>
          <w:rFonts w:hint="eastAsia"/>
        </w:rPr>
        <w:t>模板躯干线与横向垂直平面的夹角与座椅靠背处于最直立时的角度相同</w:t>
      </w:r>
      <w:r>
        <w:rPr>
          <w:rFonts w:hint="eastAsia"/>
        </w:rPr>
        <w:t>；</w:t>
      </w:r>
    </w:p>
    <w:p>
      <w:pPr>
        <w:pStyle w:val="237"/>
        <w:numPr>
          <w:ilvl w:val="0"/>
          <w:numId w:val="40"/>
        </w:numPr>
        <w:ind w:left="1259"/>
      </w:pPr>
      <w:r>
        <w:rPr>
          <w:rFonts w:hint="eastAsia"/>
        </w:rPr>
        <w:t>模板置于通过H点的纵向垂直平面。</w:t>
      </w:r>
    </w:p>
    <w:p>
      <w:pPr>
        <w:pStyle w:val="177"/>
      </w:pPr>
      <w:bookmarkStart w:id="86" w:name="_Ref276823488"/>
      <w:r>
        <w:rPr>
          <w:rFonts w:hint="eastAsia"/>
        </w:rPr>
        <w:t>如</w:t>
      </w:r>
      <w:r>
        <w:t>图</w:t>
      </w:r>
      <w:r>
        <w:rPr>
          <w:rFonts w:hint="eastAsia"/>
        </w:rPr>
        <w:t>A</w:t>
      </w:r>
      <w:r>
        <w:t>.11</w:t>
      </w:r>
      <w:r>
        <w:rPr>
          <w:rFonts w:hint="eastAsia"/>
        </w:rPr>
        <w:t>所示，在</w:t>
      </w:r>
      <w:r>
        <w:t>ISOFIX</w:t>
      </w:r>
      <w:r>
        <w:rPr>
          <w:rFonts w:hint="eastAsia"/>
        </w:rPr>
        <w:t>位置上装有</w:t>
      </w:r>
      <w:r>
        <w:t>ISOFIX</w:t>
      </w:r>
      <w:r>
        <w:rPr>
          <w:rFonts w:hint="eastAsia"/>
        </w:rPr>
        <w:t>下固定点，利用GB 14166中附录B图B.5的固定模块ISO/F2替代方法确定上拉带固定点位置。乘坐位置应为座椅调至最后、最低位置，座椅靠背处于正常位置或制造商推荐的位置。在侧视图中，</w:t>
      </w:r>
      <w:r>
        <w:t>ISOFIX</w:t>
      </w:r>
      <w:r>
        <w:rPr>
          <w:rFonts w:hint="eastAsia"/>
        </w:rPr>
        <w:t>上拉带固定点应位于</w:t>
      </w:r>
      <w:r>
        <w:t>ISO/F2</w:t>
      </w:r>
      <w:r>
        <w:rPr>
          <w:rFonts w:hint="eastAsia"/>
        </w:rPr>
        <w:t>后表面之后。以</w:t>
      </w:r>
      <w:r>
        <w:t>ISO/F2</w:t>
      </w:r>
      <w:r>
        <w:rPr>
          <w:rFonts w:hint="eastAsia"/>
        </w:rPr>
        <w:t>后表面和包含按座椅靠背顶部邵尔A硬度超过</w:t>
      </w:r>
      <w:r>
        <w:t>50</w:t>
      </w:r>
      <w:r>
        <w:rPr>
          <w:rFonts w:hint="eastAsia"/>
        </w:rPr>
        <w:t>的点的水平线</w:t>
      </w:r>
      <w:r>
        <w:t>(图</w:t>
      </w:r>
      <w:r>
        <w:rPr>
          <w:rFonts w:hint="eastAsia"/>
        </w:rPr>
        <w:t>A</w:t>
      </w:r>
      <w:r>
        <w:t>.11)</w:t>
      </w:r>
      <w:r>
        <w:rPr>
          <w:rFonts w:hint="eastAsia"/>
        </w:rPr>
        <w:t>以及</w:t>
      </w:r>
      <w:r>
        <w:t>ISO/F2</w:t>
      </w:r>
      <w:r>
        <w:rPr>
          <w:rFonts w:hint="eastAsia"/>
        </w:rPr>
        <w:t>中心线的交点确定为基准点</w:t>
      </w:r>
      <w:r>
        <w:t>4</w:t>
      </w:r>
      <w:r>
        <w:rPr>
          <w:rFonts w:hint="eastAsia"/>
        </w:rPr>
        <w:t>。在此点处，水平线向上最大</w:t>
      </w:r>
      <w:r>
        <w:t>45</w:t>
      </w:r>
      <w:r>
        <w:rPr>
          <w:rFonts w:ascii="Times New Roman"/>
        </w:rPr>
        <w:t>˚</w:t>
      </w:r>
      <w:r>
        <w:rPr>
          <w:rFonts w:hint="eastAsia"/>
        </w:rPr>
        <w:t>定为上固定点区的上限。在俯视图中，通过基准点</w:t>
      </w:r>
      <w:r>
        <w:t>4</w:t>
      </w:r>
      <w:r>
        <w:rPr>
          <w:rFonts w:hint="eastAsia"/>
        </w:rPr>
        <w:t>向后面两侧做最大为</w:t>
      </w:r>
      <w:r>
        <w:t>90</w:t>
      </w:r>
      <w:r>
        <w:rPr>
          <w:rFonts w:ascii="Times New Roman"/>
        </w:rPr>
        <w:t>˚</w:t>
      </w:r>
      <w:r>
        <w:rPr>
          <w:rFonts w:hint="eastAsia"/>
        </w:rPr>
        <w:t>形成的区域；在后视图中，通过基准点</w:t>
      </w:r>
      <w:r>
        <w:t>4</w:t>
      </w:r>
      <w:r>
        <w:rPr>
          <w:rFonts w:hint="eastAsia"/>
        </w:rPr>
        <w:t>做最大为</w:t>
      </w:r>
      <w:r>
        <w:t>40</w:t>
      </w:r>
      <w:r>
        <w:rPr>
          <w:rFonts w:ascii="Times New Roman"/>
        </w:rPr>
        <w:t>˚</w:t>
      </w:r>
      <w:r>
        <w:rPr>
          <w:rFonts w:hint="eastAsia"/>
        </w:rPr>
        <w:t>形成的区域，</w:t>
      </w:r>
      <w:r>
        <w:t>ISOFIX</w:t>
      </w:r>
      <w:r>
        <w:rPr>
          <w:rFonts w:hint="eastAsia"/>
        </w:rPr>
        <w:t>上拉带固定点就位于这两个立体区域内。</w:t>
      </w:r>
      <w:r>
        <w:t>ISOFIX</w:t>
      </w:r>
      <w:r>
        <w:rPr>
          <w:rFonts w:hint="eastAsia"/>
        </w:rPr>
        <w:t>上拉带的起始点5位于离</w:t>
      </w:r>
      <w:r>
        <w:t>ISO/F2</w:t>
      </w:r>
      <w:r>
        <w:rPr>
          <w:rFonts w:hint="eastAsia"/>
        </w:rPr>
        <w:t>固定模块平面1向上</w:t>
      </w:r>
      <w:r>
        <w:t>550 mm</w:t>
      </w:r>
      <w:r>
        <w:rPr>
          <w:rFonts w:hint="eastAsia"/>
        </w:rPr>
        <w:t>的平面与中心线</w:t>
      </w:r>
      <w:r>
        <w:t>6</w:t>
      </w:r>
      <w:r>
        <w:rPr>
          <w:rFonts w:hint="eastAsia"/>
        </w:rPr>
        <w:t>的交点。沿拉带从座椅靠背到</w:t>
      </w:r>
      <w:r>
        <w:t>ISOFIX</w:t>
      </w:r>
      <w:r>
        <w:rPr>
          <w:rFonts w:hint="eastAsia"/>
        </w:rPr>
        <w:t>上拉带固定点测量，</w:t>
      </w:r>
      <w:r>
        <w:t>ISOFIX</w:t>
      </w:r>
      <w:r>
        <w:rPr>
          <w:rFonts w:hint="eastAsia"/>
        </w:rPr>
        <w:t>上拉带固定点与</w:t>
      </w:r>
      <w:r>
        <w:t>ISO/F2</w:t>
      </w:r>
      <w:r>
        <w:rPr>
          <w:rFonts w:hint="eastAsia"/>
        </w:rPr>
        <w:t>固定模块后表面上的</w:t>
      </w:r>
      <w:r>
        <w:t>ISOFIX</w:t>
      </w:r>
      <w:r>
        <w:rPr>
          <w:rFonts w:hint="eastAsia"/>
        </w:rPr>
        <w:t>上拉带起始点的距离应大于</w:t>
      </w:r>
      <w:r>
        <w:t>200 mm</w:t>
      </w:r>
      <w:r>
        <w:rPr>
          <w:rFonts w:hint="eastAsia"/>
        </w:rPr>
        <w:t>，但不大于</w:t>
      </w:r>
      <w:r>
        <w:t>2</w:t>
      </w:r>
      <w:r>
        <w:rPr>
          <w:rFonts w:hint="eastAsia"/>
        </w:rPr>
        <w:t xml:space="preserve"> </w:t>
      </w:r>
      <w:r>
        <w:t>000 mm</w:t>
      </w:r>
      <w:r>
        <w:rPr>
          <w:rFonts w:hint="eastAsia"/>
        </w:rPr>
        <w:t>。</w:t>
      </w:r>
      <w:bookmarkEnd w:id="86"/>
    </w:p>
    <w:p>
      <w:pPr>
        <w:pStyle w:val="177"/>
        <w:rPr>
          <w:sz w:val="28"/>
          <w:szCs w:val="28"/>
        </w:rPr>
      </w:pPr>
      <w:bookmarkStart w:id="87" w:name="_Ref276823556"/>
      <w:bookmarkStart w:id="88" w:name="_Ref334445432"/>
      <w:r>
        <w:rPr>
          <w:rFonts w:hint="eastAsia"/>
        </w:rPr>
        <w:t>如果固定点无法置于规定的阴影区内，且车辆装有ISOFIX上拉带固定点附加装置，则与ISOFIX上连接件连接的车辆ISOFIX上拉带固定点可超出</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_Ref276823458 \r \h</w:instrText>
      </w:r>
      <w:r>
        <w:instrText xml:space="preserve">  \* MERGEFORMAT </w:instrText>
      </w:r>
      <w:r>
        <w:fldChar w:fldCharType="separate"/>
      </w:r>
      <w:r>
        <w:t>b)</w:t>
      </w:r>
      <w:r>
        <w:fldChar w:fldCharType="end"/>
      </w:r>
      <w:r>
        <w:rPr>
          <w:rFonts w:hint="eastAsia"/>
        </w:rPr>
        <w:t>或</w:t>
      </w:r>
      <w:r>
        <w:fldChar w:fldCharType="begin"/>
      </w:r>
      <w:r>
        <w:instrText xml:space="preserve"> </w:instrText>
      </w:r>
      <w:r>
        <w:rPr>
          <w:rFonts w:hint="eastAsia"/>
        </w:rPr>
        <w:instrText xml:space="preserve">REF _Ref276823452 \r \h</w:instrText>
      </w:r>
      <w:r>
        <w:instrText xml:space="preserve">  \* MERGEFORMAT </w:instrText>
      </w:r>
      <w:r>
        <w:fldChar w:fldCharType="separate"/>
      </w:r>
      <w:r>
        <w:rPr>
          <w:rFonts w:hint="eastAsia"/>
        </w:rPr>
        <w:t>4.1.4　</w:t>
      </w:r>
      <w:r>
        <w:fldChar w:fldCharType="end"/>
      </w:r>
      <w:r>
        <w:rPr>
          <w:rFonts w:hint="eastAsia"/>
        </w:rPr>
        <w:t xml:space="preserve"> </w:t>
      </w:r>
      <w:r>
        <w:fldChar w:fldCharType="begin"/>
      </w:r>
      <w:r>
        <w:instrText xml:space="preserve"> </w:instrText>
      </w:r>
      <w:r>
        <w:rPr>
          <w:rFonts w:hint="eastAsia"/>
        </w:rPr>
        <w:instrText xml:space="preserve">REF _Ref276823488 \r \h</w:instrText>
      </w:r>
      <w:r>
        <w:instrText xml:space="preserve">  \* MERGEFORMAT </w:instrText>
      </w:r>
      <w:r>
        <w:fldChar w:fldCharType="separate"/>
      </w:r>
      <w:r>
        <w:t>c)</w:t>
      </w:r>
      <w:r>
        <w:fldChar w:fldCharType="end"/>
      </w:r>
      <w:r>
        <w:rPr>
          <w:rFonts w:hint="eastAsia"/>
        </w:rPr>
        <w:t>规定的阴影区。同时ISOFIX上拉带固定点附加装置应满足：</w:t>
      </w:r>
      <w:bookmarkEnd w:id="87"/>
      <w:bookmarkEnd w:id="88"/>
    </w:p>
    <w:p>
      <w:pPr>
        <w:pStyle w:val="237"/>
        <w:numPr>
          <w:ilvl w:val="0"/>
          <w:numId w:val="41"/>
        </w:numPr>
        <w:ind w:left="1259"/>
        <w:rPr>
          <w:rFonts w:ascii="黑体" w:eastAsia="黑体"/>
        </w:rPr>
      </w:pPr>
      <w:r>
        <w:rPr>
          <w:rFonts w:hint="eastAsia"/>
        </w:rPr>
        <w:t>如果与ISOFIX上拉带固定点连接的固定装置位于阴影区内，卷收装置应保证ISOFIX上拉带的功能；</w:t>
      </w:r>
    </w:p>
    <w:p>
      <w:pPr>
        <w:pStyle w:val="237"/>
        <w:numPr>
          <w:ilvl w:val="0"/>
          <w:numId w:val="41"/>
        </w:numPr>
        <w:ind w:left="1259"/>
        <w:rPr>
          <w:rFonts w:ascii="黑体" w:eastAsia="黑体"/>
        </w:rPr>
      </w:pPr>
      <w:r>
        <w:rPr>
          <w:rFonts w:hint="eastAsia"/>
        </w:rPr>
        <w:t>非刚性织带型卷收装置或可展开的卷收装置应距躯干线不小于65 mm，固定式刚性卷收装置应距躯干线不小于100 mm；</w:t>
      </w:r>
    </w:p>
    <w:p>
      <w:pPr>
        <w:pStyle w:val="237"/>
        <w:numPr>
          <w:ilvl w:val="0"/>
          <w:numId w:val="41"/>
        </w:numPr>
        <w:ind w:left="1259"/>
        <w:rPr>
          <w:rFonts w:ascii="黑体" w:eastAsia="黑体"/>
        </w:rPr>
      </w:pPr>
      <w:r>
        <w:rPr>
          <w:rFonts w:hint="eastAsia"/>
        </w:rPr>
        <w:t>在安装成使用状态后，按本标准5.6规定的ISOFIX上拉带固定点载荷加载进行试验，卷收装置应具有足够的强度。</w:t>
      </w:r>
    </w:p>
    <w:p>
      <w:pPr>
        <w:pStyle w:val="177"/>
      </w:pPr>
      <w:bookmarkStart w:id="89" w:name="_Ref327869901"/>
      <w:r>
        <w:rPr>
          <w:rFonts w:hint="eastAsia"/>
        </w:rPr>
        <w:t>上拉带固定装置如果不在座椅靠背顶部拉带卷收区域内，可隐藏在座椅靠背上；</w:t>
      </w:r>
      <w:bookmarkEnd w:id="89"/>
    </w:p>
    <w:p>
      <w:pPr>
        <w:pStyle w:val="177"/>
      </w:pPr>
      <w:r>
        <w:rPr>
          <w:rFonts w:hint="eastAsia"/>
        </w:rPr>
        <w:t>ISOFIX上拉带固定点应满足</w:t>
      </w:r>
      <w:r>
        <w:t>图</w:t>
      </w:r>
      <w:r>
        <w:rPr>
          <w:rFonts w:hint="eastAsia"/>
        </w:rPr>
        <w:t>A</w:t>
      </w:r>
      <w:r>
        <w:t>.3</w:t>
      </w:r>
      <w:r>
        <w:rPr>
          <w:rFonts w:hint="eastAsia"/>
        </w:rPr>
        <w:t>规定的ISOFIX上固定钩连接尺寸要求。在ISOFIX上拉带固定点周围应提供允许其锁止和解锁操作的空间。位于ISOFIX固定点系统之后的，可用于连接ISOFIX上拉带固定钩或ISOFIX上拉带连接器的所有固定点应采用以下一个或多个措施的避免误用：</w:t>
      </w:r>
    </w:p>
    <w:p>
      <w:pPr>
        <w:pStyle w:val="237"/>
        <w:numPr>
          <w:ilvl w:val="0"/>
          <w:numId w:val="42"/>
        </w:numPr>
        <w:ind w:left="1259"/>
      </w:pPr>
      <w:r>
        <w:rPr>
          <w:rFonts w:hint="eastAsia"/>
        </w:rPr>
        <w:t>把所有在ISOFIX上拉带固定点区域内的这种固定点设计为ISOFIX上拉带固定点；</w:t>
      </w:r>
    </w:p>
    <w:p>
      <w:pPr>
        <w:pStyle w:val="237"/>
        <w:numPr>
          <w:ilvl w:val="0"/>
          <w:numId w:val="42"/>
        </w:numPr>
        <w:ind w:left="1259"/>
      </w:pPr>
      <w:r>
        <w:rPr>
          <w:rFonts w:hint="eastAsia"/>
        </w:rPr>
        <w:t>只在ISOFIX上拉带固定点上使用</w:t>
      </w:r>
      <w:r>
        <w:t>图</w:t>
      </w:r>
      <w:r>
        <w:rPr>
          <w:rFonts w:hint="eastAsia"/>
        </w:rPr>
        <w:t>A</w:t>
      </w:r>
      <w:r>
        <w:t>.13</w:t>
      </w:r>
      <w:r>
        <w:rPr>
          <w:rFonts w:hint="eastAsia"/>
        </w:rPr>
        <w:t>所示的符号之一或其镜像对称的符号进行标示；</w:t>
      </w:r>
    </w:p>
    <w:p>
      <w:pPr>
        <w:pStyle w:val="237"/>
        <w:numPr>
          <w:ilvl w:val="0"/>
          <w:numId w:val="42"/>
        </w:numPr>
        <w:ind w:left="1259"/>
      </w:pPr>
      <w:r>
        <w:rPr>
          <w:rFonts w:hint="eastAsia"/>
        </w:rPr>
        <w:t>在不满足上述两条要求的固定点上标示明显的标记表示不能与任何ISOFIX固定点系统组合使用。</w:t>
      </w:r>
    </w:p>
    <w:p>
      <w:pPr>
        <w:pStyle w:val="177"/>
      </w:pPr>
      <w:r>
        <w:rPr>
          <w:rFonts w:hint="eastAsia"/>
        </w:rPr>
        <w:t>对每个有盖的ISOFIX上拉带固定点，盖上应有如</w:t>
      </w:r>
      <w:r>
        <w:t>图</w:t>
      </w:r>
      <w:r>
        <w:rPr>
          <w:rFonts w:hint="eastAsia"/>
        </w:rPr>
        <w:t>A</w:t>
      </w:r>
      <w:r>
        <w:t>.13</w:t>
      </w:r>
      <w:r>
        <w:rPr>
          <w:rFonts w:hint="eastAsia"/>
        </w:rPr>
        <w:t>的符号或镜像对称的符号标记，且不使用工具就应能将盖移开。</w:t>
      </w:r>
    </w:p>
    <w:p>
      <w:pPr>
        <w:pStyle w:val="68"/>
        <w:spacing w:before="156" w:after="156"/>
      </w:pPr>
      <w:r>
        <w:rPr>
          <w:rFonts w:hint="eastAsia"/>
        </w:rPr>
        <w:t>i-Size乘坐位置的要求</w:t>
      </w:r>
    </w:p>
    <w:p>
      <w:pPr>
        <w:pStyle w:val="97"/>
        <w:spacing w:before="156" w:after="156"/>
      </w:pPr>
      <w:r>
        <w:t>一般要求</w:t>
      </w:r>
    </w:p>
    <w:p>
      <w:pPr>
        <w:pStyle w:val="59"/>
        <w:ind w:firstLine="420"/>
      </w:pPr>
      <w:r>
        <w:rPr>
          <w:rFonts w:hint="eastAsia"/>
        </w:rPr>
        <w:t>每个i-Size乘坐位置应符合4.1.2至4.1.5.3规定。</w:t>
      </w:r>
    </w:p>
    <w:p>
      <w:pPr>
        <w:pStyle w:val="97"/>
        <w:spacing w:before="156" w:after="156"/>
      </w:pPr>
      <w:r>
        <w:rPr>
          <w:rFonts w:hint="eastAsia"/>
        </w:rPr>
        <w:t>标识</w:t>
      </w:r>
    </w:p>
    <w:p>
      <w:pPr>
        <w:pStyle w:val="238"/>
        <w:numPr>
          <w:ilvl w:val="0"/>
          <w:numId w:val="0"/>
        </w:numPr>
        <w:ind w:firstLine="420" w:firstLineChars="200"/>
      </w:pPr>
      <w:r>
        <w:rPr>
          <w:rFonts w:hint="eastAsia"/>
        </w:rPr>
        <w:t>每个i-Size乘坐位置在ISOFIX下固定点系统附近（杆件或导向装置）都应有永久标识。</w:t>
      </w:r>
    </w:p>
    <w:p>
      <w:pPr>
        <w:pStyle w:val="238"/>
        <w:numPr>
          <w:ilvl w:val="0"/>
          <w:numId w:val="0"/>
        </w:numPr>
        <w:ind w:firstLine="424" w:firstLineChars="202"/>
      </w:pPr>
      <w:r>
        <w:rPr>
          <w:rFonts w:hint="eastAsia"/>
        </w:rPr>
        <w:t>最小标识的符号如图</w:t>
      </w:r>
      <w:r>
        <w:t>G</w:t>
      </w:r>
      <w:r>
        <w:rPr>
          <w:rFonts w:hint="eastAsia"/>
        </w:rPr>
        <w:t>.4所示，为边长不小于13mm的正方形图标，并满足如下条件：</w:t>
      </w:r>
    </w:p>
    <w:p>
      <w:pPr>
        <w:pStyle w:val="177"/>
        <w:numPr>
          <w:ilvl w:val="0"/>
          <w:numId w:val="43"/>
        </w:numPr>
      </w:pPr>
      <w:r>
        <w:rPr>
          <w:rFonts w:hint="eastAsia"/>
        </w:rPr>
        <w:t>图标应与其背景有鲜明的对比；</w:t>
      </w:r>
    </w:p>
    <w:p>
      <w:pPr>
        <w:pStyle w:val="177"/>
      </w:pPr>
      <w:r>
        <w:rPr>
          <w:rFonts w:hint="eastAsia"/>
        </w:rPr>
        <w:t>图标应靠近每个固定点系统的杆件位置。</w:t>
      </w:r>
    </w:p>
    <w:p>
      <w:pPr>
        <w:pStyle w:val="97"/>
        <w:spacing w:before="156" w:after="156"/>
      </w:pPr>
      <w:r>
        <w:rPr>
          <w:rFonts w:hint="eastAsia"/>
        </w:rPr>
        <w:t>连接i-Size支撑腿的i-Size乘坐位置的几何要求</w:t>
      </w:r>
    </w:p>
    <w:p>
      <w:pPr>
        <w:pStyle w:val="238"/>
        <w:numPr>
          <w:ilvl w:val="0"/>
          <w:numId w:val="0"/>
        </w:numPr>
        <w:ind w:firstLine="420" w:firstLineChars="200"/>
      </w:pPr>
      <w:r>
        <w:rPr>
          <w:rFonts w:hint="eastAsia"/>
        </w:rPr>
        <w:t>除了应满足4.1.3和4.1.4的要求，还应检查车辆地板上表面（包括内饰、地毯、泡沫等）与支撑腿足部空间评价体相交的X方向和Y方向的极限表面，如图</w:t>
      </w:r>
      <w:r>
        <w:t>G</w:t>
      </w:r>
      <w:r>
        <w:rPr>
          <w:rFonts w:hint="eastAsia"/>
        </w:rPr>
        <w:t>.1和图</w:t>
      </w:r>
      <w:r>
        <w:t>G</w:t>
      </w:r>
      <w:r>
        <w:rPr>
          <w:rFonts w:hint="eastAsia"/>
        </w:rPr>
        <w:t>.2所示。</w:t>
      </w:r>
    </w:p>
    <w:p>
      <w:pPr>
        <w:pStyle w:val="238"/>
        <w:numPr>
          <w:ilvl w:val="0"/>
          <w:numId w:val="0"/>
        </w:numPr>
        <w:ind w:firstLine="420" w:firstLineChars="200"/>
      </w:pPr>
      <w:r>
        <w:rPr>
          <w:rFonts w:hint="eastAsia"/>
        </w:rPr>
        <w:t>支撑腿足部空间评价体的特征如下（见图</w:t>
      </w:r>
      <w:r>
        <w:t>G</w:t>
      </w:r>
      <w:r>
        <w:rPr>
          <w:rFonts w:hint="eastAsia"/>
        </w:rPr>
        <w:t>.1和图</w:t>
      </w:r>
      <w:r>
        <w:t>G</w:t>
      </w:r>
      <w:r>
        <w:rPr>
          <w:rFonts w:hint="eastAsia"/>
        </w:rPr>
        <w:t>.2）:</w:t>
      </w:r>
    </w:p>
    <w:p>
      <w:pPr>
        <w:pStyle w:val="238"/>
        <w:numPr>
          <w:ilvl w:val="0"/>
          <w:numId w:val="44"/>
        </w:numPr>
      </w:pPr>
      <w:r>
        <w:rPr>
          <w:rFonts w:hint="eastAsia"/>
        </w:rPr>
        <w:t>宽度方向上，由两个距离安装在乘坐位置上的儿童约束固定模块纵向中分面各100mm的平行平面限定；</w:t>
      </w:r>
    </w:p>
    <w:p>
      <w:pPr>
        <w:pStyle w:val="238"/>
        <w:numPr>
          <w:ilvl w:val="0"/>
          <w:numId w:val="44"/>
        </w:numPr>
      </w:pPr>
      <w:r>
        <w:rPr>
          <w:rFonts w:hint="eastAsia"/>
        </w:rPr>
        <w:t>长度方向上，由两个分别垂直于儿童约束固定模块底面和纵向中分面的平面限定，这两个平面距离通过</w:t>
      </w:r>
      <w:r>
        <w:t>I</w:t>
      </w:r>
      <w:r>
        <w:rPr>
          <w:rFonts w:hint="eastAsia"/>
        </w:rPr>
        <w:t>SOFHX下固定点且垂直于CRF底面的平面的距离分别为585mm和695mm；</w:t>
      </w:r>
    </w:p>
    <w:p>
      <w:pPr>
        <w:pStyle w:val="238"/>
        <w:numPr>
          <w:ilvl w:val="0"/>
          <w:numId w:val="44"/>
        </w:numPr>
      </w:pPr>
      <w:r>
        <w:rPr>
          <w:rFonts w:hint="eastAsia"/>
        </w:rPr>
        <w:t>高度方向上，由两个平行且距离儿童约束固定模块底面下方分别为270mm和525mm的两个平面限定。</w:t>
      </w:r>
    </w:p>
    <w:p>
      <w:pPr>
        <w:pStyle w:val="238"/>
        <w:numPr>
          <w:ilvl w:val="0"/>
          <w:numId w:val="0"/>
        </w:numPr>
        <w:ind w:left="424" w:firstLine="2"/>
      </w:pPr>
      <w:r>
        <w:rPr>
          <w:rFonts w:hint="eastAsia"/>
        </w:rPr>
        <w:t>上述用于几何评定的前后倾斜角度按照4.1.3.d）的规定测量。</w:t>
      </w:r>
    </w:p>
    <w:p>
      <w:pPr>
        <w:pStyle w:val="59"/>
        <w:ind w:firstLine="420"/>
      </w:pPr>
      <w:r>
        <w:rPr>
          <w:rFonts w:hint="eastAsia"/>
        </w:rPr>
        <w:t>上述要求可通过试验或计算机模拟或代表性图纸证明。</w:t>
      </w:r>
    </w:p>
    <w:p>
      <w:pPr>
        <w:pStyle w:val="97"/>
        <w:spacing w:before="156" w:after="156"/>
      </w:pPr>
      <w:r>
        <w:rPr>
          <w:rFonts w:hint="eastAsia"/>
        </w:rPr>
        <w:t>i-Size乘坐位置的车辆地板强度要求</w:t>
      </w:r>
    </w:p>
    <w:p>
      <w:pPr>
        <w:pStyle w:val="97"/>
        <w:numPr>
          <w:ilvl w:val="0"/>
          <w:numId w:val="0"/>
        </w:numPr>
        <w:spacing w:before="0" w:beforeLines="0" w:after="0" w:afterLines="0"/>
        <w:ind w:firstLine="420" w:firstLineChars="200"/>
        <w:rPr>
          <w:rFonts w:ascii="宋体" w:hAnsi="宋体" w:eastAsia="宋体"/>
        </w:rPr>
      </w:pPr>
      <w:r>
        <w:rPr>
          <w:rFonts w:hint="eastAsia" w:ascii="宋体" w:hAnsi="宋体" w:eastAsia="宋体"/>
        </w:rPr>
        <w:t>整个车辆地板接触表面的强度应能承受按照5.6.2.4施加的载荷。</w:t>
      </w:r>
    </w:p>
    <w:p>
      <w:pPr>
        <w:pStyle w:val="108"/>
        <w:spacing w:before="156" w:after="156"/>
        <w:ind w:left="0"/>
      </w:pPr>
      <w:bookmarkStart w:id="90" w:name="_Toc276822174"/>
      <w:bookmarkStart w:id="91" w:name="_Ref276823095"/>
      <w:bookmarkStart w:id="92" w:name="_Toc327905582"/>
      <w:bookmarkStart w:id="93" w:name="_Toc327803259"/>
      <w:bookmarkStart w:id="94" w:name="_Ref327891276"/>
      <w:bookmarkStart w:id="95" w:name="_Toc277059191"/>
      <w:bookmarkStart w:id="96" w:name="_Toc279473125"/>
      <w:bookmarkStart w:id="97" w:name="_Toc337675069"/>
      <w:bookmarkStart w:id="98" w:name="_Ref276824384"/>
      <w:bookmarkStart w:id="99" w:name="_Toc277061652"/>
      <w:bookmarkStart w:id="100" w:name="_Toc78142665"/>
      <w:bookmarkStart w:id="101" w:name="_Toc282199378"/>
      <w:bookmarkStart w:id="102" w:name="_Toc327803367"/>
      <w:bookmarkStart w:id="103" w:name="_Toc276987344"/>
      <w:bookmarkStart w:id="104" w:name="_Toc282778226"/>
      <w:bookmarkStart w:id="105" w:name="_Toc307323621"/>
      <w:bookmarkStart w:id="106" w:name="_Toc327802975"/>
      <w:r>
        <w:rPr>
          <w:rFonts w:hint="eastAsia"/>
        </w:rPr>
        <w:t>安全带和ISOFIX固定点的最低数量</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68"/>
        <w:spacing w:before="156" w:after="156"/>
      </w:pPr>
      <w:bookmarkStart w:id="107" w:name="_Toc279473126"/>
      <w:bookmarkStart w:id="108" w:name="_Toc277059192"/>
      <w:bookmarkStart w:id="109" w:name="_Toc307323622"/>
      <w:bookmarkStart w:id="110" w:name="_Toc327802976"/>
      <w:bookmarkStart w:id="111" w:name="_Toc337675070"/>
      <w:bookmarkStart w:id="112" w:name="_Toc276822175"/>
      <w:bookmarkStart w:id="113" w:name="_Toc276987345"/>
      <w:bookmarkStart w:id="114" w:name="_Toc282199379"/>
      <w:bookmarkStart w:id="115" w:name="_Toc282778227"/>
      <w:bookmarkStart w:id="116" w:name="_Toc327803368"/>
      <w:bookmarkStart w:id="117" w:name="_Toc327905583"/>
      <w:bookmarkStart w:id="118" w:name="_Toc327803260"/>
      <w:bookmarkStart w:id="119" w:name="_Toc277061653"/>
      <w:r>
        <w:rPr>
          <w:rFonts w:hint="eastAsia"/>
        </w:rPr>
        <w:t>常规固定点最低数量要求</w:t>
      </w:r>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97"/>
        <w:spacing w:before="0" w:beforeLines="0" w:after="0" w:afterLines="0"/>
        <w:rPr>
          <w:rFonts w:ascii="宋体" w:eastAsia="宋体"/>
        </w:rPr>
      </w:pPr>
      <w:r>
        <w:rPr>
          <w:rFonts w:hint="eastAsia" w:ascii="宋体" w:eastAsia="宋体"/>
        </w:rPr>
        <w:t>M类和N类的车辆（GB/T</w:t>
      </w:r>
      <w:r>
        <w:rPr>
          <w:rFonts w:ascii="宋体" w:eastAsia="宋体"/>
        </w:rPr>
        <w:t xml:space="preserve"> </w:t>
      </w:r>
      <w:r>
        <w:rPr>
          <w:rFonts w:hint="eastAsia" w:ascii="宋体" w:eastAsia="宋体"/>
        </w:rPr>
        <w:t>15089定义的Ⅰ级或A级的M</w:t>
      </w:r>
      <w:r>
        <w:rPr>
          <w:rFonts w:hint="eastAsia" w:ascii="宋体" w:eastAsia="宋体"/>
          <w:vertAlign w:val="subscript"/>
        </w:rPr>
        <w:t>2</w:t>
      </w:r>
      <w:r>
        <w:rPr>
          <w:rFonts w:hint="eastAsia" w:ascii="宋体" w:eastAsia="宋体"/>
        </w:rPr>
        <w:t>或M</w:t>
      </w:r>
      <w:r>
        <w:rPr>
          <w:rFonts w:hint="eastAsia" w:ascii="宋体" w:eastAsia="宋体"/>
          <w:vertAlign w:val="subscript"/>
        </w:rPr>
        <w:t>3</w:t>
      </w:r>
      <w:r>
        <w:rPr>
          <w:rFonts w:hint="eastAsia" w:ascii="宋体" w:eastAsia="宋体"/>
        </w:rPr>
        <w:t>类车辆除外）应具有符合本文件要求的安全带固定点。如果GB/T</w:t>
      </w:r>
      <w:r>
        <w:rPr>
          <w:rFonts w:ascii="宋体" w:eastAsia="宋体"/>
        </w:rPr>
        <w:t xml:space="preserve"> </w:t>
      </w:r>
      <w:r>
        <w:rPr>
          <w:rFonts w:hint="eastAsia" w:ascii="宋体" w:eastAsia="宋体"/>
        </w:rPr>
        <w:t>15089定义的Ⅰ级或A级的M</w:t>
      </w:r>
      <w:r>
        <w:rPr>
          <w:rFonts w:hint="eastAsia" w:ascii="宋体" w:eastAsia="宋体"/>
          <w:vertAlign w:val="subscript"/>
        </w:rPr>
        <w:t>2</w:t>
      </w:r>
      <w:r>
        <w:rPr>
          <w:rFonts w:hint="eastAsia" w:ascii="宋体" w:eastAsia="宋体"/>
        </w:rPr>
        <w:t>或M</w:t>
      </w:r>
      <w:r>
        <w:rPr>
          <w:rFonts w:hint="eastAsia" w:ascii="宋体" w:eastAsia="宋体"/>
          <w:vertAlign w:val="subscript"/>
        </w:rPr>
        <w:t>3</w:t>
      </w:r>
      <w:r>
        <w:rPr>
          <w:rFonts w:hint="eastAsia" w:ascii="宋体" w:eastAsia="宋体"/>
        </w:rPr>
        <w:t>类车辆装备有安全带固定点，则这些固定点应符合本文件的要求。</w:t>
      </w:r>
    </w:p>
    <w:p>
      <w:pPr>
        <w:pStyle w:val="97"/>
        <w:spacing w:before="0" w:beforeLines="0" w:after="0" w:afterLines="0"/>
        <w:rPr>
          <w:rFonts w:ascii="宋体" w:eastAsia="宋体"/>
        </w:rPr>
      </w:pPr>
      <w:r>
        <w:rPr>
          <w:rFonts w:hint="eastAsia" w:ascii="宋体" w:eastAsia="宋体"/>
        </w:rPr>
        <w:t>对于按GB 14166批准为S型安全带的全背带式安全带（无论是否有卷收器）的固定点，应满足本文件要求；但附加固定点或用于安装胯带总成的固定点则无需满足本标准中的强度和位置的要求。</w:t>
      </w:r>
    </w:p>
    <w:p>
      <w:pPr>
        <w:pStyle w:val="97"/>
        <w:spacing w:before="0" w:beforeLines="0" w:after="0" w:afterLines="0"/>
        <w:rPr>
          <w:rFonts w:ascii="宋体" w:eastAsia="宋体"/>
        </w:rPr>
      </w:pPr>
      <w:r>
        <w:rPr>
          <w:rFonts w:hint="eastAsia" w:ascii="宋体" w:eastAsia="宋体"/>
        </w:rPr>
        <w:t>所有前向、后向和侧向座椅处的安全带固定点最低数量应符合本标准附录</w:t>
      </w:r>
      <w:r>
        <w:rPr>
          <w:rFonts w:ascii="宋体" w:eastAsia="宋体"/>
        </w:rPr>
        <w:t>C的</w:t>
      </w:r>
      <w:r>
        <w:rPr>
          <w:rFonts w:hint="eastAsia" w:ascii="宋体" w:eastAsia="宋体"/>
        </w:rPr>
        <w:t>规定。</w:t>
      </w:r>
    </w:p>
    <w:p>
      <w:pPr>
        <w:pStyle w:val="97"/>
        <w:spacing w:before="0" w:beforeLines="0" w:after="0" w:afterLines="0"/>
        <w:rPr>
          <w:rFonts w:ascii="宋体" w:eastAsia="宋体"/>
        </w:rPr>
      </w:pPr>
      <w:bookmarkStart w:id="120" w:name="_Ref276825465"/>
      <w:r>
        <w:rPr>
          <w:rFonts w:hint="eastAsia" w:ascii="宋体" w:eastAsia="宋体"/>
        </w:rPr>
        <w:t>但对于N</w:t>
      </w:r>
      <w:r>
        <w:rPr>
          <w:rFonts w:hint="eastAsia" w:ascii="宋体" w:eastAsia="宋体"/>
          <w:vertAlign w:val="subscript"/>
        </w:rPr>
        <w:t>1</w:t>
      </w:r>
      <w:r>
        <w:rPr>
          <w:rFonts w:hint="eastAsia" w:ascii="宋体" w:eastAsia="宋体"/>
        </w:rPr>
        <w:t>类车辆非前排的外侧座椅处（表</w:t>
      </w:r>
      <w:r>
        <w:rPr>
          <w:rFonts w:ascii="宋体" w:eastAsia="宋体"/>
        </w:rPr>
        <w:t>B.1</w:t>
      </w:r>
      <w:r>
        <w:rPr>
          <w:rFonts w:hint="eastAsia" w:ascii="宋体" w:eastAsia="宋体"/>
        </w:rPr>
        <w:t>中</w:t>
      </w:r>
      <w:r>
        <w:rPr>
          <w:rFonts w:ascii="宋体" w:eastAsia="宋体"/>
        </w:rPr>
        <w:t>注</w:t>
      </w:r>
      <w:r>
        <w:rPr>
          <w:rFonts w:hint="eastAsia" w:ascii="宋体" w:eastAsia="宋体"/>
        </w:rPr>
        <w:t>a，当座椅与最近的车身侧围之间有供乘客通行的通道时，允许只设2个下固定点。若座椅和侧围间的空间为通道，所有的车门关闭时座椅纵向中心垂直平面（在R点位置测量）与侧围的距离应大于500 mm。</w:t>
      </w:r>
      <w:bookmarkEnd w:id="120"/>
    </w:p>
    <w:p>
      <w:pPr>
        <w:pStyle w:val="97"/>
        <w:spacing w:before="0" w:beforeLines="0" w:after="0" w:afterLines="0"/>
        <w:rPr>
          <w:rFonts w:ascii="宋体" w:eastAsia="宋体"/>
        </w:rPr>
      </w:pPr>
      <w:bookmarkStart w:id="121" w:name="_Ref276823907"/>
      <w:r>
        <w:rPr>
          <w:rFonts w:hint="eastAsia" w:ascii="宋体" w:eastAsia="宋体"/>
        </w:rPr>
        <w:t>对于前排中间座椅处（表</w:t>
      </w:r>
      <w:r>
        <w:rPr>
          <w:rFonts w:ascii="宋体" w:eastAsia="宋体"/>
        </w:rPr>
        <w:t>B.1</w:t>
      </w:r>
      <w:r>
        <w:rPr>
          <w:rFonts w:hint="eastAsia" w:ascii="宋体" w:eastAsia="宋体"/>
        </w:rPr>
        <w:t>中</w:t>
      </w:r>
      <w:r>
        <w:rPr>
          <w:rFonts w:ascii="宋体" w:eastAsia="宋体"/>
        </w:rPr>
        <w:t>注</w:t>
      </w:r>
      <w:r>
        <w:rPr>
          <w:rFonts w:hint="eastAsia" w:ascii="宋体" w:eastAsia="宋体"/>
        </w:rPr>
        <w:t>b，如果风窗玻璃位于GB 11552附录B定义的基准区以外时，可只设2个下固定点；如果位于基准区内，则要求有3个固定点，此时风窗玻璃被认为是基准区的一部分。</w:t>
      </w:r>
      <w:bookmarkEnd w:id="121"/>
    </w:p>
    <w:p>
      <w:pPr>
        <w:pStyle w:val="97"/>
        <w:spacing w:before="0" w:beforeLines="0" w:after="0" w:afterLines="0"/>
        <w:rPr>
          <w:rFonts w:ascii="宋体" w:eastAsia="宋体"/>
        </w:rPr>
      </w:pPr>
      <w:bookmarkStart w:id="122" w:name="_Ref276825475"/>
      <w:r>
        <w:rPr>
          <w:rFonts w:hint="eastAsia" w:ascii="宋体" w:eastAsia="宋体"/>
        </w:rPr>
        <w:t>对所有表</w:t>
      </w:r>
      <w:r>
        <w:rPr>
          <w:rFonts w:ascii="宋体" w:eastAsia="宋体"/>
        </w:rPr>
        <w:t>B.1</w:t>
      </w:r>
      <w:r>
        <w:rPr>
          <w:rFonts w:hint="eastAsia" w:ascii="宋体" w:eastAsia="宋体"/>
        </w:rPr>
        <w:t>中</w:t>
      </w:r>
      <w:r>
        <w:rPr>
          <w:rFonts w:ascii="宋体" w:eastAsia="宋体"/>
        </w:rPr>
        <w:t>注</w:t>
      </w:r>
      <w:r>
        <w:rPr>
          <w:rFonts w:hint="eastAsia" w:ascii="宋体" w:eastAsia="宋体"/>
        </w:rPr>
        <w:t>c的乘坐位置，应设3个固定点。若满足下列条件之一，可只设2个固定点：</w:t>
      </w:r>
      <w:bookmarkEnd w:id="122"/>
    </w:p>
    <w:p>
      <w:pPr>
        <w:pStyle w:val="59"/>
        <w:ind w:firstLine="420"/>
      </w:pPr>
      <w:r>
        <w:rPr>
          <w:rFonts w:hint="eastAsia"/>
        </w:rPr>
        <w:t>——前方有一个满足GB 13057-2003第4.1.3规定的座椅或其它车辆部件；</w:t>
      </w:r>
    </w:p>
    <w:p>
      <w:pPr>
        <w:pStyle w:val="59"/>
        <w:ind w:firstLine="420"/>
      </w:pPr>
      <w:r>
        <w:rPr>
          <w:rFonts w:hint="eastAsia"/>
        </w:rPr>
        <w:t>——车辆的任何部件都不在基准区域内，或当车辆运动时，没有车辆的部件能进入基准区域内；</w:t>
      </w:r>
    </w:p>
    <w:p>
      <w:pPr>
        <w:pStyle w:val="59"/>
        <w:ind w:firstLine="420"/>
      </w:pPr>
      <w:r>
        <w:rPr>
          <w:rFonts w:hint="eastAsia"/>
        </w:rPr>
        <w:t>——在基准区域内的车辆部件应符合GB 11552-2009附录G规定的吸能要求。</w:t>
      </w:r>
    </w:p>
    <w:p>
      <w:pPr>
        <w:pStyle w:val="59"/>
        <w:ind w:firstLine="420"/>
      </w:pPr>
      <w:r>
        <w:rPr>
          <w:rFonts w:hint="eastAsia"/>
        </w:rPr>
        <w:t>——上述条款不适用驾驶员座椅。</w:t>
      </w:r>
    </w:p>
    <w:p>
      <w:pPr>
        <w:pStyle w:val="97"/>
        <w:spacing w:before="0" w:beforeLines="0" w:after="0" w:afterLines="0"/>
        <w:rPr>
          <w:rFonts w:ascii="宋体" w:eastAsia="宋体"/>
        </w:rPr>
      </w:pPr>
      <w:r>
        <w:rPr>
          <w:rFonts w:hint="eastAsia" w:ascii="宋体" w:eastAsia="宋体"/>
        </w:rPr>
        <w:t>对于所有车辆静止时方可使用的座椅，以及</w:t>
      </w:r>
      <w:r>
        <w:rPr>
          <w:rFonts w:ascii="宋体" w:eastAsia="宋体"/>
        </w:rPr>
        <w:t>4.2.1.1</w:t>
      </w:r>
      <w:r>
        <w:rPr>
          <w:rFonts w:hint="eastAsia" w:ascii="宋体" w:eastAsia="宋体"/>
        </w:rPr>
        <w:t>至</w:t>
      </w:r>
      <w:r>
        <w:rPr>
          <w:rFonts w:ascii="宋体" w:eastAsia="宋体"/>
        </w:rPr>
        <w:fldChar w:fldCharType="begin"/>
      </w:r>
      <w:r>
        <w:rPr>
          <w:rFonts w:ascii="宋体" w:eastAsia="宋体"/>
        </w:rPr>
        <w:instrText xml:space="preserve"> </w:instrText>
      </w:r>
      <w:r>
        <w:rPr>
          <w:rFonts w:hint="eastAsia" w:ascii="宋体" w:eastAsia="宋体"/>
        </w:rPr>
        <w:instrText xml:space="preserve">REF _Ref276823907 \r \h</w:instrText>
      </w:r>
      <w:r>
        <w:rPr>
          <w:rFonts w:ascii="宋体" w:eastAsia="宋体"/>
        </w:rPr>
        <w:instrText xml:space="preserve">  \* MERGEFORMAT </w:instrText>
      </w:r>
      <w:r>
        <w:rPr>
          <w:rFonts w:ascii="宋体" w:eastAsia="宋体"/>
        </w:rPr>
        <w:fldChar w:fldCharType="separate"/>
      </w:r>
      <w:r>
        <w:rPr>
          <w:rFonts w:hint="eastAsia" w:ascii="宋体" w:eastAsia="宋体"/>
        </w:rPr>
        <w:t>4.2.1.5　</w:t>
      </w:r>
      <w:r>
        <w:rPr>
          <w:rFonts w:ascii="宋体" w:eastAsia="宋体"/>
        </w:rPr>
        <w:fldChar w:fldCharType="end"/>
      </w:r>
      <w:r>
        <w:rPr>
          <w:rFonts w:hint="eastAsia" w:ascii="宋体" w:eastAsia="宋体"/>
        </w:rPr>
        <w:t>未包括的座椅，不要求有安全带固定点。但如果车辆上为这种座椅位置设置了安全带固定点，则这些固定点应符合本文件的规定。仅用于联接残疾人士所用安全带以及其他符合GB</w:t>
      </w:r>
      <w:r>
        <w:rPr>
          <w:rFonts w:ascii="宋体" w:eastAsia="宋体"/>
        </w:rPr>
        <w:t xml:space="preserve"> </w:t>
      </w:r>
      <w:r>
        <w:rPr>
          <w:rFonts w:hint="eastAsia" w:ascii="宋体" w:eastAsia="宋体"/>
        </w:rPr>
        <w:t>13094-2017附录A规定的约束系统的固定点，不需要符合本文件的规定。</w:t>
      </w:r>
    </w:p>
    <w:p>
      <w:pPr>
        <w:pStyle w:val="97"/>
        <w:spacing w:before="0" w:beforeLines="0" w:after="0" w:afterLines="0"/>
        <w:rPr>
          <w:rFonts w:ascii="宋体" w:eastAsia="宋体"/>
        </w:rPr>
      </w:pPr>
      <w:bookmarkStart w:id="123" w:name="_Ref276825481"/>
      <w:r>
        <w:rPr>
          <w:rFonts w:hint="eastAsia" w:ascii="宋体" w:eastAsia="宋体"/>
        </w:rPr>
        <w:t>对双层客车的上层前排中间乘座位置的要求与前排外侧位置的要求相同。</w:t>
      </w:r>
      <w:bookmarkEnd w:id="123"/>
    </w:p>
    <w:p>
      <w:pPr>
        <w:pStyle w:val="97"/>
        <w:spacing w:before="0" w:beforeLines="0" w:after="0" w:afterLines="0"/>
        <w:rPr>
          <w:rFonts w:ascii="宋体" w:eastAsia="宋体"/>
        </w:rPr>
      </w:pPr>
      <w:r>
        <w:rPr>
          <w:rFonts w:hint="eastAsia" w:ascii="宋体" w:eastAsia="宋体"/>
        </w:rPr>
        <w:t>对车辆静止时能旋转或能改变朝向的座椅，本标准4.2.1.1的要求仅适用于车辆行驶时处在正常使用位置的情况（在相关的申请文件中注明）。</w:t>
      </w:r>
    </w:p>
    <w:p>
      <w:pPr>
        <w:pStyle w:val="68"/>
        <w:spacing w:before="156" w:after="156"/>
      </w:pPr>
      <w:bookmarkStart w:id="124" w:name="_Toc276822176"/>
      <w:bookmarkStart w:id="125" w:name="_Ref276825340"/>
      <w:bookmarkStart w:id="126" w:name="_Ref276825383"/>
      <w:bookmarkStart w:id="127" w:name="_Toc277059193"/>
      <w:bookmarkStart w:id="128" w:name="_Toc282199380"/>
      <w:bookmarkStart w:id="129" w:name="_Ref276823822"/>
      <w:bookmarkStart w:id="130" w:name="_Toc276987346"/>
      <w:bookmarkStart w:id="131" w:name="_Toc282778228"/>
      <w:bookmarkStart w:id="132" w:name="_Toc277061654"/>
      <w:bookmarkStart w:id="133" w:name="_Toc279473127"/>
      <w:bookmarkStart w:id="134" w:name="_Toc327802977"/>
      <w:bookmarkStart w:id="135" w:name="_Toc327803261"/>
      <w:bookmarkStart w:id="136" w:name="_Toc307323623"/>
      <w:bookmarkStart w:id="137" w:name="_Toc327905584"/>
      <w:bookmarkStart w:id="138" w:name="_Toc337675071"/>
      <w:bookmarkStart w:id="139" w:name="_Toc327803369"/>
      <w:r>
        <w:rPr>
          <w:rFonts w:hint="eastAsia"/>
        </w:rPr>
        <w:t>ISOFIX位置的最低数量要求</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97"/>
        <w:spacing w:before="0" w:beforeLines="0" w:after="0" w:afterLines="0"/>
        <w:rPr>
          <w:rFonts w:ascii="Times New Roman" w:eastAsia="宋体"/>
          <w:kern w:val="2"/>
          <w:szCs w:val="24"/>
        </w:rPr>
      </w:pPr>
      <w:bookmarkStart w:id="140" w:name="_Ref276823928"/>
      <w:r>
        <w:rPr>
          <w:rFonts w:hint="eastAsia" w:ascii="Times New Roman" w:eastAsia="宋体"/>
          <w:kern w:val="2"/>
          <w:szCs w:val="24"/>
        </w:rPr>
        <w:t>所有M</w:t>
      </w:r>
      <w:r>
        <w:rPr>
          <w:rFonts w:hint="eastAsia" w:ascii="Times New Roman" w:eastAsia="宋体"/>
          <w:kern w:val="2"/>
          <w:szCs w:val="24"/>
          <w:vertAlign w:val="subscript"/>
        </w:rPr>
        <w:t>1</w:t>
      </w:r>
      <w:r>
        <w:rPr>
          <w:rFonts w:hint="eastAsia" w:ascii="Times New Roman" w:eastAsia="宋体"/>
          <w:kern w:val="2"/>
          <w:szCs w:val="24"/>
        </w:rPr>
        <w:t>类车辆应配置至少2个ISOFIX位置，至少有2个ISOFIX位置应同时装备ISOFIX固定点系统及ISOFIX上拉带固定点。安装在各个ISOFIX位置上的ISOFIX固定模块的型式和数量按GB 14166确定。</w:t>
      </w:r>
      <w:bookmarkEnd w:id="140"/>
    </w:p>
    <w:p>
      <w:pPr>
        <w:pStyle w:val="97"/>
        <w:spacing w:before="0" w:beforeLines="0" w:after="0" w:afterLines="0"/>
        <w:rPr>
          <w:rFonts w:ascii="Times New Roman" w:eastAsia="宋体"/>
          <w:kern w:val="2"/>
          <w:szCs w:val="24"/>
        </w:rPr>
      </w:pPr>
      <w:r>
        <w:rPr>
          <w:rFonts w:hint="eastAsia" w:ascii="Times New Roman" w:eastAsia="宋体"/>
          <w:kern w:val="2"/>
          <w:szCs w:val="24"/>
        </w:rPr>
        <w:t>如果车辆只装有一排座椅，可以不设置</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_Ref276823928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4.2.2.1　</w:t>
      </w:r>
      <w:r>
        <w:rPr>
          <w:rFonts w:ascii="Times New Roman" w:eastAsia="宋体"/>
          <w:kern w:val="2"/>
          <w:szCs w:val="24"/>
        </w:rPr>
        <w:fldChar w:fldCharType="end"/>
      </w:r>
      <w:r>
        <w:rPr>
          <w:rFonts w:hint="eastAsia" w:ascii="Times New Roman" w:eastAsia="宋体"/>
          <w:kern w:val="2"/>
          <w:szCs w:val="24"/>
        </w:rPr>
        <w:t>规定的ISOFIX位置。</w:t>
      </w:r>
    </w:p>
    <w:p>
      <w:pPr>
        <w:pStyle w:val="97"/>
        <w:spacing w:before="0" w:beforeLines="0" w:after="0" w:afterLines="0"/>
        <w:rPr>
          <w:rFonts w:ascii="Times New Roman" w:eastAsia="宋体"/>
          <w:kern w:val="2"/>
          <w:szCs w:val="24"/>
        </w:rPr>
      </w:pPr>
      <w:r>
        <w:rPr>
          <w:rFonts w:hint="eastAsia" w:ascii="Times New Roman" w:eastAsia="宋体"/>
          <w:kern w:val="2"/>
          <w:szCs w:val="24"/>
        </w:rPr>
        <w:t>按照</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_Ref276823928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4.2.2.1　</w:t>
      </w:r>
      <w:r>
        <w:rPr>
          <w:rFonts w:ascii="Times New Roman" w:eastAsia="宋体"/>
          <w:kern w:val="2"/>
          <w:szCs w:val="24"/>
        </w:rPr>
        <w:fldChar w:fldCharType="end"/>
      </w:r>
      <w:r>
        <w:rPr>
          <w:rFonts w:hint="eastAsia" w:ascii="Times New Roman" w:eastAsia="宋体"/>
          <w:kern w:val="2"/>
          <w:szCs w:val="24"/>
        </w:rPr>
        <w:t>规定的2个ISOFIX位置中至少有1个位于第二排座椅上。如果第二排座椅或座椅组永久朝后，则无需满足此要求，但如果后排还有其它的前向座椅，则此要求适用于第二排之后的下一排前向座椅。</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rPr>
        <w:t>同时</w:t>
      </w:r>
      <w:r>
        <w:rPr>
          <w:rFonts w:hint="eastAsia" w:ascii="Times New Roman" w:eastAsia="宋体"/>
          <w:kern w:val="2"/>
          <w:szCs w:val="24"/>
          <w:lang w:val="en-GB"/>
        </w:rPr>
        <w:t>满足下列条件的M</w:t>
      </w:r>
      <w:r>
        <w:rPr>
          <w:rFonts w:hint="eastAsia" w:ascii="Times New Roman" w:eastAsia="宋体"/>
          <w:kern w:val="2"/>
          <w:szCs w:val="24"/>
          <w:vertAlign w:val="subscript"/>
          <w:lang w:val="en-GB"/>
        </w:rPr>
        <w:t>1</w:t>
      </w:r>
      <w:r>
        <w:rPr>
          <w:rFonts w:hint="eastAsia" w:ascii="Times New Roman" w:eastAsia="宋体"/>
          <w:kern w:val="2"/>
          <w:szCs w:val="24"/>
          <w:lang w:val="en-GB"/>
        </w:rPr>
        <w:t>类车辆可仅配置一个ISOFIX位置：</w:t>
      </w:r>
    </w:p>
    <w:p>
      <w:pPr>
        <w:pStyle w:val="177"/>
        <w:numPr>
          <w:ilvl w:val="0"/>
          <w:numId w:val="45"/>
        </w:numPr>
      </w:pPr>
      <w:r>
        <w:rPr>
          <w:rFonts w:hint="eastAsia"/>
          <w:lang w:val="en-GB"/>
        </w:rPr>
        <w:t>不多于两个乘员车门</w:t>
      </w:r>
      <w:r>
        <w:rPr>
          <w:rFonts w:hint="eastAsia"/>
        </w:rPr>
        <w:t>；</w:t>
      </w:r>
    </w:p>
    <w:p>
      <w:pPr>
        <w:pStyle w:val="177"/>
      </w:pPr>
      <w:r>
        <w:rPr>
          <w:rFonts w:hint="eastAsia"/>
        </w:rPr>
        <w:t>后排指定位置与车辆的传动和/或悬架部件发生干涉导致不能安装符合4.1.3规定的ISOFIX固定点；</w:t>
      </w:r>
    </w:p>
    <w:p>
      <w:pPr>
        <w:pStyle w:val="177"/>
      </w:pPr>
      <w:r>
        <w:rPr>
          <w:rFonts w:hint="eastAsia"/>
        </w:rPr>
        <w:t>功率质量比</w:t>
      </w:r>
      <w:r>
        <w:t>(PMR)指数</w:t>
      </w:r>
      <w:r>
        <w:rPr>
          <w:rFonts w:hint="eastAsia"/>
        </w:rPr>
        <w:t>超过140的车辆，</w:t>
      </w:r>
      <w:r>
        <w:t>功率质量比</w:t>
      </w:r>
      <w:r>
        <w:rPr>
          <w:rFonts w:hint="eastAsia"/>
        </w:rPr>
        <w:t>定义如下：</w:t>
      </w:r>
    </w:p>
    <w:p>
      <w:pPr>
        <w:pStyle w:val="240"/>
        <w:spacing w:after="0"/>
        <w:rPr>
          <w:lang w:eastAsia="zh-CN"/>
        </w:rPr>
      </w:pPr>
      <w:r>
        <w:t>PMR = (Pn / m</w:t>
      </w:r>
      <w:r>
        <w:rPr>
          <w:vertAlign w:val="subscript"/>
        </w:rPr>
        <w:t>t</w:t>
      </w:r>
      <w:r>
        <w:t>) * 1000 kg</w:t>
      </w:r>
      <w:r>
        <w:rPr>
          <w:rFonts w:hint="eastAsia"/>
          <w:lang w:eastAsia="zh-CN"/>
        </w:rPr>
        <w:t>/kW</w:t>
      </w:r>
    </w:p>
    <w:p>
      <w:pPr>
        <w:pStyle w:val="240"/>
        <w:spacing w:after="0"/>
      </w:pPr>
      <w:r>
        <w:rPr>
          <w:rFonts w:hint="eastAsia"/>
          <w:lang w:eastAsia="zh-CN"/>
        </w:rPr>
        <w:t>其中</w:t>
      </w:r>
      <w:r>
        <w:t>:</w:t>
      </w:r>
    </w:p>
    <w:p>
      <w:pPr>
        <w:pStyle w:val="240"/>
        <w:spacing w:after="0"/>
        <w:rPr>
          <w:lang w:eastAsia="zh-CN"/>
        </w:rPr>
      </w:pPr>
      <w:r>
        <w:rPr>
          <w:lang w:eastAsia="zh-CN"/>
        </w:rPr>
        <w:t>Pn =</w:t>
      </w:r>
      <w:r>
        <w:rPr>
          <w:rFonts w:hint="eastAsia"/>
          <w:lang w:eastAsia="zh-CN"/>
        </w:rPr>
        <w:t>发动机最大净功率，单位：</w:t>
      </w:r>
      <w:r>
        <w:rPr>
          <w:lang w:eastAsia="zh-CN"/>
        </w:rPr>
        <w:t xml:space="preserve"> kW </w:t>
      </w:r>
    </w:p>
    <w:p>
      <w:pPr>
        <w:pStyle w:val="240"/>
        <w:spacing w:after="0"/>
        <w:rPr>
          <w:lang w:eastAsia="zh-CN"/>
        </w:rPr>
      </w:pPr>
      <w:r>
        <w:rPr>
          <w:lang w:eastAsia="zh-CN"/>
        </w:rPr>
        <w:t>m</w:t>
      </w:r>
      <w:r>
        <w:rPr>
          <w:vertAlign w:val="subscript"/>
          <w:lang w:eastAsia="zh-CN"/>
        </w:rPr>
        <w:t>ro</w:t>
      </w:r>
      <w:r>
        <w:rPr>
          <w:lang w:eastAsia="zh-CN"/>
        </w:rPr>
        <w:t xml:space="preserve"> =</w:t>
      </w:r>
      <w:r>
        <w:rPr>
          <w:rFonts w:hint="eastAsia"/>
          <w:lang w:eastAsia="zh-CN"/>
        </w:rPr>
        <w:t>整车整备质量+75kg，单位：</w:t>
      </w:r>
      <w:r>
        <w:rPr>
          <w:lang w:eastAsia="zh-CN"/>
        </w:rPr>
        <w:t>kg</w:t>
      </w:r>
    </w:p>
    <w:p>
      <w:pPr>
        <w:pStyle w:val="240"/>
        <w:spacing w:after="0"/>
        <w:rPr>
          <w:lang w:eastAsia="zh-CN"/>
        </w:rPr>
      </w:pPr>
      <w:r>
        <w:rPr>
          <w:lang w:eastAsia="zh-CN"/>
        </w:rPr>
        <w:t>m</w:t>
      </w:r>
      <w:r>
        <w:rPr>
          <w:vertAlign w:val="subscript"/>
          <w:lang w:eastAsia="zh-CN"/>
        </w:rPr>
        <w:t>t</w:t>
      </w:r>
      <w:r>
        <w:rPr>
          <w:lang w:eastAsia="zh-CN"/>
        </w:rPr>
        <w:t xml:space="preserve"> = m</w:t>
      </w:r>
      <w:r>
        <w:rPr>
          <w:vertAlign w:val="subscript"/>
          <w:lang w:eastAsia="zh-CN"/>
        </w:rPr>
        <w:t xml:space="preserve">ro </w:t>
      </w:r>
      <w:r>
        <w:rPr>
          <w:lang w:eastAsia="zh-CN"/>
        </w:rPr>
        <w:t>( M</w:t>
      </w:r>
      <w:r>
        <w:rPr>
          <w:vertAlign w:val="subscript"/>
          <w:lang w:eastAsia="zh-CN"/>
        </w:rPr>
        <w:t>1</w:t>
      </w:r>
      <w:r>
        <w:rPr>
          <w:rFonts w:hint="eastAsia"/>
          <w:vertAlign w:val="subscript"/>
          <w:lang w:eastAsia="zh-CN"/>
        </w:rPr>
        <w:t xml:space="preserve"> </w:t>
      </w:r>
      <w:r>
        <w:rPr>
          <w:rFonts w:hint="eastAsia"/>
          <w:lang w:eastAsia="zh-CN"/>
        </w:rPr>
        <w:t>类车辆</w:t>
      </w:r>
      <w:r>
        <w:rPr>
          <w:lang w:eastAsia="zh-CN"/>
        </w:rPr>
        <w:t>)</w:t>
      </w:r>
    </w:p>
    <w:p>
      <w:pPr>
        <w:pStyle w:val="177"/>
        <w:rPr>
          <w:lang w:val="en-GB"/>
        </w:rPr>
      </w:pPr>
      <w:r>
        <w:rPr>
          <w:rFonts w:hint="eastAsia"/>
        </w:rPr>
        <w:t>车辆所配发动机的最大净功率超过200kW。</w:t>
      </w:r>
    </w:p>
    <w:p>
      <w:pPr>
        <w:pStyle w:val="232"/>
      </w:pPr>
      <w:r>
        <w:rPr>
          <w:rFonts w:hint="eastAsia"/>
        </w:rPr>
        <w:t>此类车辆可仅在前排乘员位置配置一个ISOFIX固定点系统和一个ISOFIX上拉带固定点，并配备气囊关闭装置（如果该位置安装了气囊）和一个警告标签，标签上说明第二排座椅无可用的ISOFIX位置。</w:t>
      </w:r>
    </w:p>
    <w:p>
      <w:pPr>
        <w:pStyle w:val="97"/>
        <w:spacing w:before="0" w:beforeLines="0" w:after="0" w:afterLines="0"/>
        <w:rPr>
          <w:rFonts w:ascii="Times New Roman" w:eastAsia="宋体"/>
          <w:kern w:val="2"/>
          <w:szCs w:val="24"/>
        </w:rPr>
      </w:pPr>
      <w:r>
        <w:rPr>
          <w:rFonts w:hint="eastAsia" w:ascii="Times New Roman" w:eastAsia="宋体"/>
          <w:kern w:val="2"/>
          <w:szCs w:val="24"/>
        </w:rPr>
        <w:t>如果ISOFIX固定系统安装在配备了正面气囊的前排乘坐位置，应安装该气囊的抑制开关。</w:t>
      </w:r>
    </w:p>
    <w:p>
      <w:pPr>
        <w:pStyle w:val="97"/>
        <w:spacing w:before="0" w:beforeLines="0" w:after="0" w:afterLines="0"/>
        <w:rPr>
          <w:rFonts w:ascii="Times New Roman" w:eastAsia="宋体"/>
          <w:kern w:val="2"/>
          <w:szCs w:val="24"/>
        </w:rPr>
      </w:pPr>
      <w:r>
        <w:rPr>
          <w:rFonts w:hint="eastAsia" w:ascii="Times New Roman" w:eastAsia="宋体"/>
          <w:kern w:val="2"/>
          <w:szCs w:val="24"/>
        </w:rPr>
        <w:t>对内置式儿童约束系统，ISOFIX位置的数量应至少为2减去质量组0，0</w:t>
      </w:r>
      <w:r>
        <w:rPr>
          <w:rFonts w:ascii="Times New Roman" w:eastAsia="宋体"/>
          <w:kern w:val="2"/>
          <w:szCs w:val="24"/>
        </w:rPr>
        <w:t>+</w:t>
      </w:r>
      <w:r>
        <w:rPr>
          <w:rFonts w:hint="eastAsia" w:ascii="Times New Roman" w:eastAsia="宋体"/>
          <w:kern w:val="2"/>
          <w:szCs w:val="24"/>
        </w:rPr>
        <w:t>或I的内置式儿童约束系统的数量。</w:t>
      </w:r>
    </w:p>
    <w:p>
      <w:pPr>
        <w:pStyle w:val="97"/>
        <w:spacing w:before="0" w:beforeLines="0" w:after="0" w:afterLines="0"/>
        <w:rPr>
          <w:rFonts w:ascii="Times New Roman" w:eastAsia="宋体"/>
          <w:kern w:val="2"/>
          <w:szCs w:val="24"/>
        </w:rPr>
      </w:pPr>
      <w:r>
        <w:rPr>
          <w:rFonts w:hint="eastAsia" w:ascii="Times New Roman" w:eastAsia="宋体"/>
          <w:kern w:val="2"/>
          <w:szCs w:val="24"/>
        </w:rPr>
        <w:t>对具有多于一排座椅的敞蓬车辆，应至少配备2个ISOFIX下固定点。如果此类车辆装备了上拉带固定点，则应满足本文件的相应条款规定。</w:t>
      </w:r>
    </w:p>
    <w:p>
      <w:pPr>
        <w:pStyle w:val="97"/>
        <w:spacing w:before="0" w:beforeLines="0" w:after="0" w:afterLines="0"/>
        <w:rPr>
          <w:rFonts w:ascii="Times New Roman" w:eastAsia="宋体"/>
          <w:kern w:val="2"/>
          <w:szCs w:val="24"/>
        </w:rPr>
      </w:pPr>
      <w:r>
        <w:rPr>
          <w:rFonts w:hint="eastAsia" w:ascii="Times New Roman" w:eastAsia="宋体"/>
          <w:kern w:val="2"/>
          <w:szCs w:val="24"/>
        </w:rPr>
        <w:t>如果车辆每排只有一个座位，则乘员位置可仅有一个</w:t>
      </w:r>
      <w:r>
        <w:rPr>
          <w:rFonts w:ascii="Times New Roman" w:eastAsia="宋体"/>
          <w:kern w:val="2"/>
          <w:szCs w:val="24"/>
        </w:rPr>
        <w:t>ISOFIX</w:t>
      </w:r>
      <w:r>
        <w:rPr>
          <w:rFonts w:hint="eastAsia" w:ascii="Times New Roman" w:eastAsia="宋体"/>
          <w:kern w:val="2"/>
          <w:szCs w:val="24"/>
        </w:rPr>
        <w:t>位置。如果此类车辆装备了</w:t>
      </w:r>
      <w:r>
        <w:rPr>
          <w:rFonts w:ascii="Times New Roman" w:eastAsia="宋体"/>
          <w:kern w:val="2"/>
          <w:szCs w:val="24"/>
        </w:rPr>
        <w:t>ISOFIX</w:t>
      </w:r>
      <w:r>
        <w:rPr>
          <w:rFonts w:hint="eastAsia" w:ascii="Times New Roman" w:eastAsia="宋体"/>
          <w:kern w:val="2"/>
          <w:szCs w:val="24"/>
        </w:rPr>
        <w:t>上拉带固定点，则需要满足本标准的相应条款。但是如果连最小的前向</w:t>
      </w:r>
      <w:r>
        <w:rPr>
          <w:rFonts w:ascii="Times New Roman" w:eastAsia="宋体"/>
          <w:kern w:val="2"/>
          <w:szCs w:val="24"/>
        </w:rPr>
        <w:t>ISOFIX</w:t>
      </w:r>
      <w:r>
        <w:rPr>
          <w:rFonts w:hint="eastAsia" w:ascii="Times New Roman" w:eastAsia="宋体"/>
          <w:kern w:val="2"/>
          <w:szCs w:val="24"/>
        </w:rPr>
        <w:t>固定模块（GB14166中附录B）也不能安装，在该车辆有特殊类型的儿童约束系统的情况下，可无</w:t>
      </w:r>
      <w:r>
        <w:rPr>
          <w:rFonts w:ascii="Times New Roman" w:eastAsia="宋体"/>
          <w:kern w:val="2"/>
          <w:szCs w:val="24"/>
        </w:rPr>
        <w:t>ISOFIX</w:t>
      </w:r>
      <w:r>
        <w:rPr>
          <w:rFonts w:hint="eastAsia" w:ascii="Times New Roman" w:eastAsia="宋体"/>
          <w:kern w:val="2"/>
          <w:szCs w:val="24"/>
        </w:rPr>
        <w:t>位置。</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lang w:val="en-GB"/>
        </w:rPr>
        <w:t>救护车、殡仪车，以及用于武装服务、民防、消防和其他维护公共秩序的车辆不要求安装ISOFIX位置。</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rPr>
        <w:t>所有M</w:t>
      </w:r>
      <w:r>
        <w:rPr>
          <w:rFonts w:hint="eastAsia" w:ascii="Times New Roman" w:eastAsia="宋体"/>
          <w:kern w:val="2"/>
          <w:szCs w:val="24"/>
          <w:vertAlign w:val="subscript"/>
        </w:rPr>
        <w:t>1</w:t>
      </w:r>
      <w:r>
        <w:rPr>
          <w:rFonts w:hint="eastAsia" w:ascii="Times New Roman" w:eastAsia="宋体"/>
          <w:kern w:val="2"/>
          <w:szCs w:val="24"/>
        </w:rPr>
        <w:t>类车辆应配置至少1个</w:t>
      </w:r>
      <w:r>
        <w:rPr>
          <w:rFonts w:hint="eastAsia" w:ascii="Times New Roman" w:eastAsia="宋体"/>
          <w:kern w:val="2"/>
          <w:szCs w:val="24"/>
          <w:lang w:val="en-GB"/>
        </w:rPr>
        <w:t>i-Size乘坐位置，i-Size位置可代替上述的一个或多个ISOFIX位置。</w:t>
      </w:r>
    </w:p>
    <w:p>
      <w:pPr>
        <w:pStyle w:val="59"/>
        <w:ind w:firstLine="420"/>
        <w:rPr>
          <w:lang w:val="en-GB"/>
        </w:rPr>
      </w:pPr>
    </w:p>
    <w:p>
      <w:pPr>
        <w:pStyle w:val="108"/>
        <w:spacing w:before="156" w:after="156"/>
        <w:ind w:left="0"/>
      </w:pPr>
      <w:bookmarkStart w:id="141" w:name="_Toc276822177"/>
      <w:bookmarkStart w:id="142" w:name="_Toc277059194"/>
      <w:bookmarkStart w:id="143" w:name="_Toc327802979"/>
      <w:bookmarkStart w:id="144" w:name="_Toc276987347"/>
      <w:bookmarkStart w:id="145" w:name="_Toc327803371"/>
      <w:bookmarkStart w:id="146" w:name="_Toc327905586"/>
      <w:bookmarkStart w:id="147" w:name="_Toc337675073"/>
      <w:bookmarkStart w:id="148" w:name="_Toc78142666"/>
      <w:bookmarkStart w:id="149" w:name="_Toc277061655"/>
      <w:bookmarkStart w:id="150" w:name="_Toc282199382"/>
      <w:bookmarkStart w:id="151" w:name="_Toc307323625"/>
      <w:bookmarkStart w:id="152" w:name="_Toc279473129"/>
      <w:bookmarkStart w:id="153" w:name="_Toc282778230"/>
      <w:bookmarkStart w:id="154" w:name="_Ref276823150"/>
      <w:bookmarkStart w:id="155" w:name="_Toc327803263"/>
      <w:r>
        <w:rPr>
          <w:rFonts w:hint="eastAsia"/>
        </w:rPr>
        <w:t>安全带固定点的位置（见</w:t>
      </w:r>
      <w:r>
        <w:t>图C.1</w:t>
      </w:r>
      <w:r>
        <w:rPr>
          <w:rFonts w:hint="eastAsia"/>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68"/>
        <w:spacing w:before="156" w:after="156"/>
      </w:pPr>
      <w:bookmarkStart w:id="156" w:name="_Toc282778231"/>
      <w:bookmarkStart w:id="157" w:name="_Toc276822178"/>
      <w:bookmarkStart w:id="158" w:name="_Toc327803372"/>
      <w:bookmarkStart w:id="159" w:name="_Toc337675074"/>
      <w:bookmarkStart w:id="160" w:name="_Toc327803264"/>
      <w:bookmarkStart w:id="161" w:name="_Toc307323626"/>
      <w:bookmarkStart w:id="162" w:name="_Toc277059195"/>
      <w:bookmarkStart w:id="163" w:name="_Toc279473130"/>
      <w:bookmarkStart w:id="164" w:name="_Toc282199383"/>
      <w:bookmarkStart w:id="165" w:name="_Toc277061656"/>
      <w:bookmarkStart w:id="166" w:name="_Toc276987348"/>
      <w:bookmarkStart w:id="167" w:name="_Toc327905587"/>
      <w:bookmarkStart w:id="168" w:name="_Toc327802980"/>
      <w:r>
        <w:rPr>
          <w:rFonts w:hint="eastAsia"/>
        </w:rPr>
        <w:t>总则</w:t>
      </w:r>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97"/>
        <w:spacing w:before="0" w:beforeLines="0" w:after="0" w:afterLines="0"/>
        <w:rPr>
          <w:rFonts w:ascii="Times New Roman" w:eastAsia="宋体"/>
          <w:kern w:val="2"/>
          <w:szCs w:val="24"/>
        </w:rPr>
      </w:pPr>
      <w:r>
        <w:rPr>
          <w:rFonts w:hint="eastAsia" w:ascii="Times New Roman" w:eastAsia="宋体"/>
          <w:kern w:val="2"/>
          <w:szCs w:val="24"/>
        </w:rPr>
        <w:t>安全带的固定点既可设在车辆结构上或座椅结构上，亦可设在车辆的其它部件上，或者分设于以上各部件上。</w:t>
      </w:r>
    </w:p>
    <w:p>
      <w:pPr>
        <w:pStyle w:val="97"/>
        <w:spacing w:before="0" w:beforeLines="0" w:after="0" w:afterLines="0"/>
        <w:rPr>
          <w:rFonts w:ascii="Times New Roman" w:eastAsia="宋体"/>
          <w:kern w:val="2"/>
          <w:szCs w:val="24"/>
        </w:rPr>
      </w:pPr>
      <w:r>
        <w:rPr>
          <w:rFonts w:hint="eastAsia" w:ascii="Times New Roman" w:eastAsia="宋体"/>
          <w:kern w:val="2"/>
          <w:szCs w:val="24"/>
        </w:rPr>
        <w:t>安全带的固定点可供两个相邻安全带的两个端头固定用，但应符合试验要求。</w:t>
      </w:r>
    </w:p>
    <w:p>
      <w:pPr>
        <w:pStyle w:val="68"/>
        <w:spacing w:before="156" w:after="156"/>
      </w:pPr>
      <w:bookmarkStart w:id="169" w:name="_Toc276822179"/>
      <w:bookmarkStart w:id="170" w:name="_Toc276987349"/>
      <w:bookmarkStart w:id="171" w:name="_Toc307323627"/>
      <w:bookmarkStart w:id="172" w:name="_Toc279473131"/>
      <w:bookmarkStart w:id="173" w:name="_Toc277061657"/>
      <w:bookmarkStart w:id="174" w:name="_Toc327802981"/>
      <w:bookmarkStart w:id="175" w:name="_Toc277059196"/>
      <w:bookmarkStart w:id="176" w:name="_Toc282778232"/>
      <w:bookmarkStart w:id="177" w:name="_Toc327803265"/>
      <w:bookmarkStart w:id="178" w:name="_Toc337675075"/>
      <w:bookmarkStart w:id="179" w:name="_Toc327905588"/>
      <w:bookmarkStart w:id="180" w:name="_Toc327803373"/>
      <w:bookmarkStart w:id="181" w:name="_Toc282199384"/>
      <w:r>
        <w:rPr>
          <w:rFonts w:hint="eastAsia"/>
        </w:rPr>
        <w:t>安全带下有效固定点位置</w:t>
      </w:r>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97"/>
        <w:spacing w:before="156" w:after="156"/>
      </w:pPr>
      <w:bookmarkStart w:id="182" w:name="_Ref276825493"/>
      <w:r>
        <w:rPr>
          <w:rFonts w:hint="eastAsia"/>
        </w:rPr>
        <w:t>M</w:t>
      </w:r>
      <w:r>
        <w:rPr>
          <w:rFonts w:hint="eastAsia"/>
          <w:vertAlign w:val="subscript"/>
        </w:rPr>
        <w:t>1</w:t>
      </w:r>
      <w:r>
        <w:rPr>
          <w:rFonts w:hint="eastAsia"/>
        </w:rPr>
        <w:t>类车辆的前排座椅</w:t>
      </w:r>
      <w:bookmarkEnd w:id="182"/>
    </w:p>
    <w:p>
      <w:pPr>
        <w:pStyle w:val="59"/>
        <w:ind w:firstLine="420"/>
      </w:pPr>
      <w:r>
        <w:rPr>
          <w:rFonts w:hint="eastAsia"/>
        </w:rPr>
        <w:t>M</w:t>
      </w:r>
      <w:r>
        <w:rPr>
          <w:rFonts w:hint="eastAsia"/>
          <w:vertAlign w:val="subscript"/>
        </w:rPr>
        <w:t>1</w:t>
      </w:r>
      <w:r>
        <w:rPr>
          <w:rFonts w:hint="eastAsia"/>
        </w:rPr>
        <w:t>类车辆的α</w:t>
      </w:r>
      <w:r>
        <w:rPr>
          <w:rFonts w:hint="eastAsia"/>
          <w:vertAlign w:val="subscript"/>
        </w:rPr>
        <w:t>1</w:t>
      </w:r>
      <w:r>
        <w:rPr>
          <w:rFonts w:hint="eastAsia"/>
        </w:rPr>
        <w:t>（非带扣侧）应在30</w:t>
      </w:r>
      <w:r>
        <w:rPr>
          <w:rFonts w:ascii="Times New Roman"/>
        </w:rPr>
        <w:t>˚</w:t>
      </w:r>
      <w:r>
        <w:rPr>
          <w:rFonts w:hint="eastAsia"/>
        </w:rPr>
        <w:t>～80</w:t>
      </w:r>
      <w:r>
        <w:rPr>
          <w:rFonts w:ascii="Times New Roman"/>
        </w:rPr>
        <w:t>˚</w:t>
      </w:r>
      <w:r>
        <w:rPr>
          <w:rFonts w:hint="eastAsia"/>
        </w:rPr>
        <w:t>范围内，α</w:t>
      </w:r>
      <w:r>
        <w:rPr>
          <w:rFonts w:hint="eastAsia"/>
          <w:vertAlign w:val="subscript"/>
        </w:rPr>
        <w:t>2</w:t>
      </w:r>
      <w:r>
        <w:rPr>
          <w:rFonts w:hint="eastAsia"/>
        </w:rPr>
        <w:t>（带扣侧）应在45</w:t>
      </w:r>
      <w:r>
        <w:rPr>
          <w:rFonts w:ascii="Times New Roman"/>
        </w:rPr>
        <w:t>˚</w:t>
      </w:r>
      <w:r>
        <w:rPr>
          <w:rFonts w:hint="eastAsia"/>
        </w:rPr>
        <w:t>～80</w:t>
      </w:r>
      <w:r>
        <w:rPr>
          <w:rFonts w:ascii="Times New Roman"/>
        </w:rPr>
        <w:t>˚</w:t>
      </w:r>
      <w:r>
        <w:rPr>
          <w:rFonts w:hint="eastAsia"/>
        </w:rPr>
        <w:t>范围内。前排座椅所有可正常移动的位置，角度要求同上。在所有正常乘坐位置，α</w:t>
      </w:r>
      <w:r>
        <w:rPr>
          <w:rFonts w:hint="eastAsia"/>
          <w:vertAlign w:val="subscript"/>
        </w:rPr>
        <w:t>1</w:t>
      </w:r>
      <w:r>
        <w:rPr>
          <w:rFonts w:hint="eastAsia"/>
        </w:rPr>
        <w:t>和α</w:t>
      </w:r>
      <w:r>
        <w:rPr>
          <w:rFonts w:hint="eastAsia"/>
          <w:vertAlign w:val="subscript"/>
        </w:rPr>
        <w:t>2</w:t>
      </w:r>
      <w:r>
        <w:rPr>
          <w:rFonts w:hint="eastAsia"/>
        </w:rPr>
        <w:t>中至少有一个是恒定值时（如固定点在座椅上），其值应为60</w:t>
      </w:r>
      <w:r>
        <w:rPr>
          <w:rFonts w:ascii="Times New Roman"/>
        </w:rPr>
        <w:t>˚</w:t>
      </w:r>
      <w:r>
        <w:rPr>
          <w:rFonts w:hint="eastAsia"/>
        </w:rPr>
        <w:t>±10</w:t>
      </w:r>
      <w:r>
        <w:rPr>
          <w:rFonts w:ascii="Times New Roman"/>
        </w:rPr>
        <w:t>˚</w:t>
      </w:r>
      <w:r>
        <w:rPr>
          <w:rFonts w:hint="eastAsia"/>
        </w:rPr>
        <w:t>。对于带有调节机构的可调座椅，当靠背角小于20</w:t>
      </w:r>
      <w:r>
        <w:rPr>
          <w:rFonts w:ascii="Times New Roman"/>
        </w:rPr>
        <w:t>˚</w:t>
      </w:r>
      <w:r>
        <w:rPr>
          <w:rFonts w:hint="eastAsia"/>
        </w:rPr>
        <w:t>时（见</w:t>
      </w:r>
      <w:r>
        <w:t>图C.1</w:t>
      </w:r>
      <w:r>
        <w:rPr>
          <w:rFonts w:hint="eastAsia"/>
        </w:rPr>
        <w:t>），α</w:t>
      </w:r>
      <w:r>
        <w:rPr>
          <w:rFonts w:hint="eastAsia"/>
          <w:vertAlign w:val="subscript"/>
        </w:rPr>
        <w:t>1</w:t>
      </w:r>
      <w:r>
        <w:rPr>
          <w:rFonts w:hint="eastAsia"/>
        </w:rPr>
        <w:t>可低于以上规定的最小值（30</w:t>
      </w:r>
      <w:r>
        <w:rPr>
          <w:rFonts w:ascii="Times New Roman"/>
        </w:rPr>
        <w:t>˚</w:t>
      </w:r>
      <w:r>
        <w:rPr>
          <w:rFonts w:hint="eastAsia"/>
        </w:rPr>
        <w:t>），但在任何正常使用位置均不得小于20</w:t>
      </w:r>
      <w:r>
        <w:rPr>
          <w:rFonts w:ascii="Times New Roman"/>
        </w:rPr>
        <w:t>˚</w:t>
      </w:r>
      <w:r>
        <w:rPr>
          <w:rFonts w:hint="eastAsia"/>
        </w:rPr>
        <w:t>。</w:t>
      </w:r>
    </w:p>
    <w:p>
      <w:pPr>
        <w:pStyle w:val="97"/>
        <w:spacing w:before="156" w:after="156"/>
      </w:pPr>
      <w:r>
        <w:rPr>
          <w:rFonts w:hint="eastAsia"/>
        </w:rPr>
        <w:t>M</w:t>
      </w:r>
      <w:r>
        <w:rPr>
          <w:rFonts w:hint="eastAsia"/>
          <w:vertAlign w:val="subscript"/>
        </w:rPr>
        <w:t>1</w:t>
      </w:r>
      <w:r>
        <w:rPr>
          <w:rFonts w:hint="eastAsia"/>
        </w:rPr>
        <w:t>类车辆后排座椅</w:t>
      </w:r>
    </w:p>
    <w:p>
      <w:pPr>
        <w:pStyle w:val="59"/>
        <w:ind w:firstLine="420"/>
      </w:pPr>
      <w:r>
        <w:rPr>
          <w:rFonts w:hint="eastAsia"/>
        </w:rPr>
        <w:t>对M</w:t>
      </w:r>
      <w:r>
        <w:rPr>
          <w:rFonts w:hint="eastAsia"/>
          <w:vertAlign w:val="subscript"/>
        </w:rPr>
        <w:t>1</w:t>
      </w:r>
      <w:r>
        <w:rPr>
          <w:rFonts w:hint="eastAsia"/>
        </w:rPr>
        <w:t>类车辆，所有后排座椅的α</w:t>
      </w:r>
      <w:r>
        <w:rPr>
          <w:rFonts w:hint="eastAsia"/>
          <w:vertAlign w:val="subscript"/>
        </w:rPr>
        <w:t>1</w:t>
      </w:r>
      <w:r>
        <w:rPr>
          <w:rFonts w:hint="eastAsia"/>
        </w:rPr>
        <w:t>和α</w:t>
      </w:r>
      <w:r>
        <w:rPr>
          <w:rFonts w:hint="eastAsia"/>
          <w:vertAlign w:val="subscript"/>
        </w:rPr>
        <w:t>2</w:t>
      </w:r>
      <w:r>
        <w:rPr>
          <w:rFonts w:hint="eastAsia"/>
        </w:rPr>
        <w:t>应在30</w:t>
      </w:r>
      <w:r>
        <w:rPr>
          <w:rFonts w:ascii="Times New Roman"/>
        </w:rPr>
        <w:t>˚</w:t>
      </w:r>
      <w:r>
        <w:rPr>
          <w:rFonts w:hint="eastAsia"/>
        </w:rPr>
        <w:t>～80</w:t>
      </w:r>
      <w:r>
        <w:rPr>
          <w:rFonts w:ascii="Times New Roman"/>
        </w:rPr>
        <w:t>˚</w:t>
      </w:r>
      <w:r>
        <w:rPr>
          <w:rFonts w:hint="eastAsia"/>
        </w:rPr>
        <w:t>范围内；如果后排座椅是可调的，则在所有正常移动位置，上述要求均有效。</w:t>
      </w:r>
    </w:p>
    <w:p>
      <w:pPr>
        <w:pStyle w:val="97"/>
        <w:spacing w:before="156" w:after="156"/>
      </w:pPr>
      <w:r>
        <w:rPr>
          <w:rFonts w:hint="eastAsia"/>
        </w:rPr>
        <w:t>M</w:t>
      </w:r>
      <w:r>
        <w:rPr>
          <w:rFonts w:hint="eastAsia"/>
          <w:vertAlign w:val="subscript"/>
        </w:rPr>
        <w:t>1</w:t>
      </w:r>
      <w:r>
        <w:rPr>
          <w:rFonts w:hint="eastAsia"/>
        </w:rPr>
        <w:t>类以外车辆的前排座椅</w:t>
      </w:r>
    </w:p>
    <w:p>
      <w:pPr>
        <w:pStyle w:val="59"/>
        <w:ind w:firstLine="420"/>
      </w:pPr>
      <w:r>
        <w:rPr>
          <w:rFonts w:hint="eastAsia"/>
        </w:rPr>
        <w:t>对M</w:t>
      </w:r>
      <w:r>
        <w:rPr>
          <w:rFonts w:hint="eastAsia"/>
          <w:vertAlign w:val="subscript"/>
        </w:rPr>
        <w:t>1</w:t>
      </w:r>
      <w:r>
        <w:rPr>
          <w:rFonts w:hint="eastAsia"/>
        </w:rPr>
        <w:t>类以外车辆的前排座椅的所有正常移动位置，α</w:t>
      </w:r>
      <w:r>
        <w:rPr>
          <w:rFonts w:hint="eastAsia"/>
          <w:vertAlign w:val="subscript"/>
        </w:rPr>
        <w:t>1</w:t>
      </w:r>
      <w:r>
        <w:rPr>
          <w:rFonts w:hint="eastAsia"/>
        </w:rPr>
        <w:t>和α</w:t>
      </w:r>
      <w:r>
        <w:rPr>
          <w:rFonts w:hint="eastAsia"/>
          <w:vertAlign w:val="subscript"/>
        </w:rPr>
        <w:t>2</w:t>
      </w:r>
      <w:r>
        <w:rPr>
          <w:rFonts w:hint="eastAsia"/>
        </w:rPr>
        <w:t>应在30</w:t>
      </w:r>
      <w:r>
        <w:rPr>
          <w:rFonts w:ascii="Times New Roman"/>
        </w:rPr>
        <w:t>˚</w:t>
      </w:r>
      <w:r>
        <w:rPr>
          <w:rFonts w:hint="eastAsia"/>
        </w:rPr>
        <w:t>～80</w:t>
      </w:r>
      <w:r>
        <w:rPr>
          <w:rFonts w:ascii="Times New Roman"/>
        </w:rPr>
        <w:t>˚</w:t>
      </w:r>
      <w:r>
        <w:rPr>
          <w:rFonts w:hint="eastAsia"/>
        </w:rPr>
        <w:t>之间；对于最大总质量不超过3500 kg车辆的前排座椅的所有正常使用位置，α</w:t>
      </w:r>
      <w:r>
        <w:rPr>
          <w:rFonts w:hint="eastAsia"/>
          <w:vertAlign w:val="subscript"/>
        </w:rPr>
        <w:t>1</w:t>
      </w:r>
      <w:r>
        <w:rPr>
          <w:rFonts w:hint="eastAsia"/>
        </w:rPr>
        <w:t>和α</w:t>
      </w:r>
      <w:r>
        <w:rPr>
          <w:rFonts w:hint="eastAsia"/>
          <w:vertAlign w:val="subscript"/>
        </w:rPr>
        <w:t>2</w:t>
      </w:r>
      <w:r>
        <w:rPr>
          <w:rFonts w:hint="eastAsia"/>
        </w:rPr>
        <w:t>中至少有一个是恒定值时（如固定点在座椅上)，其值应为60</w:t>
      </w:r>
      <w:r>
        <w:rPr>
          <w:rFonts w:ascii="Times New Roman"/>
        </w:rPr>
        <w:t>˚</w:t>
      </w:r>
      <w:r>
        <w:rPr>
          <w:rFonts w:hint="eastAsia"/>
        </w:rPr>
        <w:t>±10</w:t>
      </w:r>
      <w:r>
        <w:rPr>
          <w:rFonts w:ascii="Times New Roman"/>
        </w:rPr>
        <w:t>˚</w:t>
      </w:r>
      <w:r>
        <w:rPr>
          <w:rFonts w:hint="eastAsia"/>
        </w:rPr>
        <w:t>。</w:t>
      </w:r>
    </w:p>
    <w:p>
      <w:pPr>
        <w:pStyle w:val="97"/>
        <w:spacing w:before="156" w:after="156"/>
      </w:pPr>
      <w:r>
        <w:rPr>
          <w:rFonts w:hint="eastAsia"/>
        </w:rPr>
        <w:t>M</w:t>
      </w:r>
      <w:r>
        <w:rPr>
          <w:rFonts w:hint="eastAsia"/>
          <w:vertAlign w:val="subscript"/>
        </w:rPr>
        <w:t>1</w:t>
      </w:r>
      <w:r>
        <w:rPr>
          <w:rFonts w:hint="eastAsia"/>
        </w:rPr>
        <w:t>类以外车辆后排座椅和特殊前排或后排座椅</w:t>
      </w:r>
    </w:p>
    <w:p>
      <w:pPr>
        <w:pStyle w:val="59"/>
        <w:ind w:firstLine="420"/>
      </w:pPr>
      <w:r>
        <w:rPr>
          <w:rFonts w:hint="eastAsia"/>
        </w:rPr>
        <w:t>对M</w:t>
      </w:r>
      <w:r>
        <w:rPr>
          <w:rFonts w:hint="eastAsia"/>
          <w:vertAlign w:val="subscript"/>
        </w:rPr>
        <w:t>1</w:t>
      </w:r>
      <w:r>
        <w:rPr>
          <w:rFonts w:hint="eastAsia"/>
        </w:rPr>
        <w:t>类以外车辆长条座椅、带有调节机构且靠背角小于20</w:t>
      </w:r>
      <w:r>
        <w:rPr>
          <w:rFonts w:ascii="Times New Roman"/>
        </w:rPr>
        <w:t>˚</w:t>
      </w:r>
      <w:r>
        <w:rPr>
          <w:rFonts w:hint="eastAsia"/>
        </w:rPr>
        <w:t>（见</w:t>
      </w:r>
      <w:r>
        <w:t>图C.1</w:t>
      </w:r>
      <w:r>
        <w:rPr>
          <w:rFonts w:hint="eastAsia"/>
        </w:rPr>
        <w:t>）的前、后排座椅以及在正常使用位置上的其它后排座椅，α</w:t>
      </w:r>
      <w:r>
        <w:rPr>
          <w:rFonts w:hint="eastAsia"/>
          <w:vertAlign w:val="subscript"/>
        </w:rPr>
        <w:t>1</w:t>
      </w:r>
      <w:r>
        <w:rPr>
          <w:rFonts w:hint="eastAsia"/>
        </w:rPr>
        <w:t>和α</w:t>
      </w:r>
      <w:r>
        <w:rPr>
          <w:rFonts w:hint="eastAsia"/>
          <w:vertAlign w:val="subscript"/>
        </w:rPr>
        <w:t>2</w:t>
      </w:r>
      <w:r>
        <w:rPr>
          <w:rFonts w:hint="eastAsia"/>
        </w:rPr>
        <w:t>允许在20</w:t>
      </w:r>
      <w:r>
        <w:rPr>
          <w:rFonts w:ascii="Times New Roman"/>
        </w:rPr>
        <w:t>˚</w:t>
      </w:r>
      <w:r>
        <w:rPr>
          <w:rFonts w:hint="eastAsia"/>
        </w:rPr>
        <w:t>～80</w:t>
      </w:r>
      <w:r>
        <w:rPr>
          <w:rFonts w:ascii="Times New Roman"/>
        </w:rPr>
        <w:t>˚</w:t>
      </w:r>
      <w:r>
        <w:rPr>
          <w:rFonts w:hint="eastAsia"/>
        </w:rPr>
        <w:t>之间；对于最大总质量不超过3 500 kg车辆的前排座椅所有正常乘坐位置，α</w:t>
      </w:r>
      <w:r>
        <w:rPr>
          <w:rFonts w:hint="eastAsia"/>
          <w:vertAlign w:val="subscript"/>
        </w:rPr>
        <w:t>1</w:t>
      </w:r>
      <w:r>
        <w:rPr>
          <w:rFonts w:hint="eastAsia"/>
        </w:rPr>
        <w:t>和α</w:t>
      </w:r>
      <w:r>
        <w:rPr>
          <w:rFonts w:hint="eastAsia"/>
          <w:vertAlign w:val="subscript"/>
        </w:rPr>
        <w:t>2</w:t>
      </w:r>
      <w:r>
        <w:rPr>
          <w:rFonts w:hint="eastAsia"/>
        </w:rPr>
        <w:t>中至少有一个是恒定值时（如固定点在座椅上），其值应为60</w:t>
      </w:r>
      <w:r>
        <w:rPr>
          <w:rFonts w:ascii="Times New Roman"/>
        </w:rPr>
        <w:t>˚</w:t>
      </w:r>
      <w:r>
        <w:rPr>
          <w:rFonts w:hint="eastAsia"/>
        </w:rPr>
        <w:t>±10</w:t>
      </w:r>
      <w:r>
        <w:rPr>
          <w:rFonts w:ascii="Times New Roman"/>
        </w:rPr>
        <w:t>˚</w:t>
      </w:r>
      <w:r>
        <w:rPr>
          <w:rFonts w:hint="eastAsia"/>
        </w:rPr>
        <w:t>。对M</w:t>
      </w:r>
      <w:r>
        <w:rPr>
          <w:rFonts w:hint="eastAsia"/>
          <w:vertAlign w:val="subscript"/>
        </w:rPr>
        <w:t>2</w:t>
      </w:r>
      <w:r>
        <w:rPr>
          <w:rFonts w:hint="eastAsia"/>
        </w:rPr>
        <w:t>和M</w:t>
      </w:r>
      <w:r>
        <w:rPr>
          <w:rFonts w:hint="eastAsia"/>
          <w:vertAlign w:val="subscript"/>
        </w:rPr>
        <w:t>3</w:t>
      </w:r>
      <w:r>
        <w:rPr>
          <w:rFonts w:hint="eastAsia"/>
        </w:rPr>
        <w:t>类车辆的非前排座椅的正常乘坐位置,α</w:t>
      </w:r>
      <w:r>
        <w:rPr>
          <w:rFonts w:hint="eastAsia"/>
          <w:vertAlign w:val="subscript"/>
        </w:rPr>
        <w:t>1</w:t>
      </w:r>
      <w:r>
        <w:rPr>
          <w:rFonts w:hint="eastAsia"/>
        </w:rPr>
        <w:t>和α</w:t>
      </w:r>
      <w:r>
        <w:rPr>
          <w:rFonts w:hint="eastAsia"/>
          <w:vertAlign w:val="subscript"/>
        </w:rPr>
        <w:t>2</w:t>
      </w:r>
      <w:r>
        <w:rPr>
          <w:rFonts w:hint="eastAsia"/>
        </w:rPr>
        <w:t>应为45</w:t>
      </w:r>
      <w:r>
        <w:rPr>
          <w:rFonts w:ascii="Times New Roman"/>
        </w:rPr>
        <w:t>˚</w:t>
      </w:r>
      <w:r>
        <w:rPr>
          <w:rFonts w:hint="eastAsia"/>
        </w:rPr>
        <w:t>～90</w:t>
      </w:r>
      <w:r>
        <w:rPr>
          <w:rFonts w:ascii="Times New Roman"/>
        </w:rPr>
        <w:t>˚</w:t>
      </w:r>
      <w:r>
        <w:rPr>
          <w:rFonts w:hint="eastAsia"/>
        </w:rPr>
        <w:t>。</w:t>
      </w:r>
    </w:p>
    <w:p>
      <w:pPr>
        <w:pStyle w:val="97"/>
        <w:spacing w:before="156" w:after="156"/>
      </w:pPr>
      <w:bookmarkStart w:id="183" w:name="_Ref277577957"/>
      <w:r>
        <w:rPr>
          <w:rFonts w:hint="eastAsia"/>
        </w:rPr>
        <w:t>安全带两个下固定点的距离</w:t>
      </w:r>
      <w:bookmarkEnd w:id="183"/>
    </w:p>
    <w:p>
      <w:pPr>
        <w:pStyle w:val="59"/>
        <w:ind w:firstLine="420"/>
      </w:pPr>
      <w:bookmarkStart w:id="184" w:name="_Ref276824158"/>
      <w:r>
        <w:rPr>
          <w:rFonts w:hint="eastAsia"/>
        </w:rPr>
        <w:t>分别通过同一安全带的两个下固定点L</w:t>
      </w:r>
      <w:r>
        <w:rPr>
          <w:rFonts w:hint="eastAsia"/>
          <w:vertAlign w:val="subscript"/>
        </w:rPr>
        <w:t>1</w:t>
      </w:r>
      <w:r>
        <w:rPr>
          <w:rFonts w:hint="eastAsia"/>
        </w:rPr>
        <w:t>、L</w:t>
      </w:r>
      <w:r>
        <w:rPr>
          <w:rFonts w:hint="eastAsia"/>
          <w:vertAlign w:val="subscript"/>
        </w:rPr>
        <w:t>2</w:t>
      </w:r>
      <w:r>
        <w:rPr>
          <w:rFonts w:hint="eastAsia"/>
        </w:rPr>
        <w:t>且平行于车辆纵向中心平面的两个垂直平面间的距离不得小于350 mm。</w:t>
      </w:r>
      <w:r>
        <w:rPr>
          <w:rFonts w:hint="eastAsia"/>
          <w:lang w:val="en-GB"/>
        </w:rPr>
        <w:t>对于侧向座椅，分别通过同一安全带的两个下固定点</w:t>
      </w:r>
      <w:r>
        <w:rPr>
          <w:rFonts w:hint="eastAsia"/>
        </w:rPr>
        <w:t>L</w:t>
      </w:r>
      <w:r>
        <w:rPr>
          <w:rFonts w:hint="eastAsia"/>
          <w:vertAlign w:val="subscript"/>
        </w:rPr>
        <w:t>1</w:t>
      </w:r>
      <w:r>
        <w:rPr>
          <w:rFonts w:hint="eastAsia"/>
        </w:rPr>
        <w:t>、L</w:t>
      </w:r>
      <w:r>
        <w:rPr>
          <w:rFonts w:hint="eastAsia"/>
          <w:vertAlign w:val="subscript"/>
        </w:rPr>
        <w:t>2</w:t>
      </w:r>
      <w:r>
        <w:rPr>
          <w:rFonts w:hint="eastAsia"/>
        </w:rPr>
        <w:t>且平行于</w:t>
      </w:r>
      <w:r>
        <w:rPr>
          <w:rFonts w:hint="eastAsia"/>
          <w:lang w:val="en-GB"/>
        </w:rPr>
        <w:t>座椅</w:t>
      </w:r>
      <w:r>
        <w:rPr>
          <w:rFonts w:hint="eastAsia"/>
        </w:rPr>
        <w:t>纵向中心平面的两个垂直平面间的距离不得小于350 mm。如果M</w:t>
      </w:r>
      <w:r>
        <w:rPr>
          <w:rFonts w:hint="eastAsia"/>
          <w:vertAlign w:val="subscript"/>
        </w:rPr>
        <w:t>1</w:t>
      </w:r>
      <w:r>
        <w:rPr>
          <w:rFonts w:hint="eastAsia"/>
        </w:rPr>
        <w:t>和N</w:t>
      </w:r>
      <w:r>
        <w:rPr>
          <w:rFonts w:hint="eastAsia"/>
          <w:vertAlign w:val="subscript"/>
        </w:rPr>
        <w:t>1</w:t>
      </w:r>
      <w:r>
        <w:rPr>
          <w:rFonts w:hint="eastAsia"/>
        </w:rPr>
        <w:t>类车辆的后排座椅只有一个中间乘坐位置，且该中间座椅与其它座椅不可交换，则上述距离不可小于240 mm。座椅的纵向中心平面应在L</w:t>
      </w:r>
      <w:r>
        <w:rPr>
          <w:rFonts w:hint="eastAsia"/>
          <w:vertAlign w:val="subscript"/>
        </w:rPr>
        <w:t>1</w:t>
      </w:r>
      <w:r>
        <w:rPr>
          <w:rFonts w:hint="eastAsia"/>
        </w:rPr>
        <w:t>和L</w:t>
      </w:r>
      <w:r>
        <w:rPr>
          <w:rFonts w:hint="eastAsia"/>
          <w:vertAlign w:val="subscript"/>
        </w:rPr>
        <w:t>2</w:t>
      </w:r>
      <w:r>
        <w:rPr>
          <w:rFonts w:hint="eastAsia"/>
        </w:rPr>
        <w:t>点之间，且距离至少为120 mm。</w:t>
      </w:r>
      <w:bookmarkEnd w:id="184"/>
    </w:p>
    <w:p>
      <w:pPr>
        <w:pStyle w:val="68"/>
        <w:spacing w:before="156" w:after="156"/>
      </w:pPr>
      <w:bookmarkStart w:id="185" w:name="_Toc279473132"/>
      <w:bookmarkStart w:id="186" w:name="_Toc276987350"/>
      <w:bookmarkStart w:id="187" w:name="_Toc277061658"/>
      <w:bookmarkStart w:id="188" w:name="_Toc276822180"/>
      <w:bookmarkStart w:id="189" w:name="_Toc282778233"/>
      <w:bookmarkStart w:id="190" w:name="_Toc307323628"/>
      <w:bookmarkStart w:id="191" w:name="_Toc327802982"/>
      <w:bookmarkStart w:id="192" w:name="_Toc282199385"/>
      <w:bookmarkStart w:id="193" w:name="_Toc327803266"/>
      <w:bookmarkStart w:id="194" w:name="_Toc277059197"/>
      <w:bookmarkStart w:id="195" w:name="_Toc327905589"/>
      <w:bookmarkStart w:id="196" w:name="_Toc337675076"/>
      <w:bookmarkStart w:id="197" w:name="_Toc327803374"/>
      <w:r>
        <w:rPr>
          <w:rFonts w:hint="eastAsia"/>
        </w:rPr>
        <w:t>安全带上有效固定点的位置（见</w:t>
      </w:r>
      <w:r>
        <w:t>图C.1和图C.2</w:t>
      </w:r>
      <w:r>
        <w:rPr>
          <w:rFonts w:hint="eastAsia"/>
        </w:rPr>
        <w:t>）</w:t>
      </w:r>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97"/>
        <w:spacing w:before="0" w:beforeLines="0" w:after="0" w:afterLines="0"/>
        <w:rPr>
          <w:rFonts w:ascii="Times New Roman" w:eastAsia="宋体"/>
          <w:kern w:val="2"/>
          <w:szCs w:val="24"/>
        </w:rPr>
      </w:pPr>
      <w:bookmarkStart w:id="198" w:name="_Ref276823996"/>
      <w:r>
        <w:rPr>
          <w:rFonts w:hint="eastAsia" w:ascii="Times New Roman" w:eastAsia="宋体"/>
          <w:kern w:val="2"/>
          <w:szCs w:val="24"/>
        </w:rPr>
        <w:t>如果因采用织带导向件或类似装置而影响安全带上有效固定点位置时，应根据织带纵向中心线通过J</w:t>
      </w:r>
      <w:r>
        <w:rPr>
          <w:rFonts w:hint="eastAsia" w:ascii="Times New Roman" w:eastAsia="宋体"/>
          <w:kern w:val="2"/>
          <w:szCs w:val="24"/>
          <w:vertAlign w:val="subscript"/>
        </w:rPr>
        <w:t>1</w:t>
      </w:r>
      <w:r>
        <w:rPr>
          <w:rFonts w:hint="eastAsia" w:ascii="Times New Roman" w:eastAsia="宋体"/>
          <w:kern w:val="2"/>
          <w:szCs w:val="24"/>
        </w:rPr>
        <w:t>点时固定点的位置的情况来确定有效固定点位置。从R点开始，用下述三条线段确定J</w:t>
      </w:r>
      <w:r>
        <w:rPr>
          <w:rFonts w:hint="eastAsia" w:ascii="Times New Roman" w:eastAsia="宋体"/>
          <w:kern w:val="2"/>
          <w:szCs w:val="24"/>
          <w:vertAlign w:val="subscript"/>
        </w:rPr>
        <w:t>1</w:t>
      </w:r>
      <w:r>
        <w:rPr>
          <w:rFonts w:hint="eastAsia" w:ascii="Times New Roman" w:eastAsia="宋体"/>
          <w:kern w:val="2"/>
          <w:szCs w:val="24"/>
        </w:rPr>
        <w:t>点：</w:t>
      </w:r>
      <w:bookmarkEnd w:id="198"/>
    </w:p>
    <w:p>
      <w:pPr>
        <w:pStyle w:val="59"/>
        <w:ind w:firstLine="420"/>
      </w:pPr>
      <w:r>
        <w:rPr>
          <w:rFonts w:hint="eastAsia"/>
        </w:rPr>
        <w:t>——RZ：从R点向上沿躯干线截取长530 mm的线段；</w:t>
      </w:r>
    </w:p>
    <w:p>
      <w:pPr>
        <w:pStyle w:val="59"/>
        <w:ind w:firstLine="420"/>
      </w:pPr>
      <w:r>
        <w:rPr>
          <w:rFonts w:hint="eastAsia"/>
        </w:rPr>
        <w:t>——ZX：从Z点沿垂直于汽车纵向中心面的直线，向固定点方向截取长120 mm的线段；</w:t>
      </w:r>
    </w:p>
    <w:p>
      <w:pPr>
        <w:pStyle w:val="59"/>
        <w:ind w:firstLine="420"/>
      </w:pPr>
      <w:r>
        <w:rPr>
          <w:rFonts w:hint="eastAsia"/>
        </w:rPr>
        <w:t>——XJ1：从X点沿垂直于RZ和ZX确定的平面的直线，向前截取长60 mm的线段。</w:t>
      </w:r>
    </w:p>
    <w:p>
      <w:pPr>
        <w:pStyle w:val="59"/>
        <w:ind w:firstLine="420"/>
      </w:pPr>
      <w:r>
        <w:rPr>
          <w:rFonts w:hint="eastAsia"/>
        </w:rPr>
        <w:t>J</w:t>
      </w:r>
      <w:r>
        <w:rPr>
          <w:rFonts w:hint="eastAsia"/>
          <w:vertAlign w:val="subscript"/>
        </w:rPr>
        <w:t>2</w:t>
      </w:r>
      <w:r>
        <w:rPr>
          <w:rFonts w:hint="eastAsia"/>
        </w:rPr>
        <w:t>点与J</w:t>
      </w:r>
      <w:r>
        <w:rPr>
          <w:rFonts w:hint="eastAsia"/>
          <w:vertAlign w:val="subscript"/>
        </w:rPr>
        <w:t>1</w:t>
      </w:r>
      <w:r>
        <w:rPr>
          <w:rFonts w:hint="eastAsia"/>
        </w:rPr>
        <w:t>点相对于过躯干线的纵向铅垂平面对称，该躯干线为安放在座椅上的人体模型的躯干线。</w:t>
      </w:r>
    </w:p>
    <w:p>
      <w:pPr>
        <w:pStyle w:val="59"/>
        <w:ind w:firstLine="420"/>
      </w:pPr>
      <w:r>
        <w:rPr>
          <w:rFonts w:hint="eastAsia"/>
        </w:rPr>
        <w:t>当用双开门为前后座椅提供通道，且上固定点在B柱上时，固定点系统应不妨碍乘员上下车。</w:t>
      </w:r>
    </w:p>
    <w:p>
      <w:pPr>
        <w:pStyle w:val="97"/>
        <w:spacing w:before="0" w:beforeLines="0" w:after="0" w:afterLines="0"/>
        <w:rPr>
          <w:rFonts w:ascii="Times New Roman" w:eastAsia="宋体"/>
          <w:kern w:val="2"/>
          <w:szCs w:val="24"/>
        </w:rPr>
      </w:pPr>
      <w:r>
        <w:rPr>
          <w:rFonts w:hint="eastAsia" w:ascii="Times New Roman" w:eastAsia="宋体"/>
          <w:kern w:val="2"/>
          <w:szCs w:val="24"/>
        </w:rPr>
        <w:t>安全带上有效固定点应位于垂直于座椅纵向中心面并与躯干线成65</w:t>
      </w:r>
      <w:r>
        <w:rPr>
          <w:rFonts w:ascii="Times New Roman" w:eastAsia="宋体"/>
          <w:kern w:val="2"/>
          <w:szCs w:val="24"/>
        </w:rPr>
        <w:t>˚</w:t>
      </w:r>
      <w:r>
        <w:rPr>
          <w:rFonts w:hint="eastAsia" w:ascii="Times New Roman" w:eastAsia="宋体"/>
          <w:kern w:val="2"/>
          <w:szCs w:val="24"/>
        </w:rPr>
        <w:t>角的FN平面下方。对于后排座椅，此夹角可减小至60</w:t>
      </w:r>
      <w:r>
        <w:rPr>
          <w:rFonts w:ascii="Times New Roman" w:eastAsia="宋体"/>
          <w:kern w:val="2"/>
          <w:szCs w:val="24"/>
        </w:rPr>
        <w:t>˚</w:t>
      </w:r>
      <w:r>
        <w:rPr>
          <w:rFonts w:hint="eastAsia" w:ascii="Times New Roman" w:eastAsia="宋体"/>
          <w:kern w:val="2"/>
          <w:szCs w:val="24"/>
        </w:rPr>
        <w:t>。FN平面与躯干线相交于D点，此时须保证DR=315 mm+1.8S,但当S≤200 mm时，DR=675 mm。</w:t>
      </w:r>
    </w:p>
    <w:p>
      <w:pPr>
        <w:pStyle w:val="97"/>
        <w:spacing w:before="0" w:beforeLines="0" w:after="0" w:afterLines="0"/>
        <w:rPr>
          <w:rFonts w:ascii="Times New Roman" w:eastAsia="宋体"/>
          <w:kern w:val="2"/>
          <w:szCs w:val="24"/>
        </w:rPr>
      </w:pPr>
      <w:bookmarkStart w:id="199" w:name="_Ref307232668"/>
      <w:r>
        <w:rPr>
          <w:rFonts w:hint="eastAsia" w:ascii="Times New Roman" w:eastAsia="宋体"/>
          <w:kern w:val="2"/>
          <w:szCs w:val="24"/>
        </w:rPr>
        <w:t>安全带上有效固定点应在垂直于座椅纵向中心面并与躯干线成120</w:t>
      </w:r>
      <w:r>
        <w:rPr>
          <w:rFonts w:ascii="Times New Roman" w:eastAsia="宋体"/>
          <w:kern w:val="2"/>
          <w:szCs w:val="24"/>
        </w:rPr>
        <w:t>˚</w:t>
      </w:r>
      <w:r>
        <w:rPr>
          <w:rFonts w:hint="eastAsia" w:ascii="Times New Roman" w:eastAsia="宋体"/>
          <w:kern w:val="2"/>
          <w:szCs w:val="24"/>
        </w:rPr>
        <w:t>角且相交于B点的FK平面后方，此时须保证BR=260 mm+S。但当S≥280 mm时，制造商可选用BR=260 mm+0.8S。</w:t>
      </w:r>
      <w:bookmarkEnd w:id="199"/>
    </w:p>
    <w:p>
      <w:pPr>
        <w:pStyle w:val="97"/>
        <w:spacing w:before="0" w:beforeLines="0" w:after="0" w:afterLines="0"/>
        <w:rPr>
          <w:rFonts w:ascii="Times New Roman" w:eastAsia="宋体"/>
          <w:kern w:val="2"/>
          <w:szCs w:val="24"/>
        </w:rPr>
      </w:pPr>
      <w:r>
        <w:rPr>
          <w:rFonts w:hint="eastAsia" w:ascii="Times New Roman" w:eastAsia="宋体"/>
          <w:kern w:val="2"/>
          <w:szCs w:val="24"/>
        </w:rPr>
        <w:t>S值不得小于140 mm。</w:t>
      </w:r>
    </w:p>
    <w:p>
      <w:pPr>
        <w:pStyle w:val="97"/>
        <w:spacing w:before="0" w:beforeLines="0" w:after="0" w:afterLines="0"/>
        <w:rPr>
          <w:rFonts w:ascii="Times New Roman" w:eastAsia="宋体"/>
          <w:kern w:val="2"/>
          <w:szCs w:val="24"/>
        </w:rPr>
      </w:pPr>
      <w:bookmarkStart w:id="200" w:name="_Ref276824010"/>
      <w:r>
        <w:rPr>
          <w:rFonts w:hint="eastAsia" w:ascii="Times New Roman" w:eastAsia="宋体"/>
          <w:kern w:val="2"/>
          <w:szCs w:val="24"/>
        </w:rPr>
        <w:t>安全带上有效固定点应位于通过R点并垂直于车辆纵向中心平面的铅垂平面之后，如附录</w:t>
      </w:r>
      <w:r>
        <w:rPr>
          <w:rFonts w:ascii="Times New Roman" w:eastAsia="宋体"/>
          <w:kern w:val="2"/>
          <w:szCs w:val="24"/>
        </w:rPr>
        <w:t>C</w:t>
      </w:r>
      <w:r>
        <w:rPr>
          <w:rFonts w:hint="eastAsia" w:ascii="Times New Roman" w:eastAsia="宋体"/>
          <w:kern w:val="2"/>
          <w:szCs w:val="24"/>
        </w:rPr>
        <w:t>所示。</w:t>
      </w:r>
      <w:bookmarkEnd w:id="200"/>
    </w:p>
    <w:p>
      <w:pPr>
        <w:pStyle w:val="97"/>
        <w:spacing w:before="0" w:beforeLines="0" w:after="0" w:afterLines="0"/>
        <w:rPr>
          <w:rFonts w:ascii="Times New Roman" w:eastAsia="宋体"/>
          <w:kern w:val="2"/>
          <w:szCs w:val="24"/>
        </w:rPr>
      </w:pPr>
      <w:bookmarkStart w:id="201" w:name="_Ref276824004"/>
      <w:r>
        <w:rPr>
          <w:rFonts w:hint="eastAsia" w:ascii="Times New Roman" w:eastAsia="宋体"/>
          <w:kern w:val="2"/>
          <w:szCs w:val="24"/>
        </w:rPr>
        <w:t>安全带上有效固定点应在通过</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_Ref276823984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C.1.3　</w:t>
      </w:r>
      <w:r>
        <w:rPr>
          <w:rFonts w:ascii="Times New Roman" w:eastAsia="宋体"/>
          <w:kern w:val="2"/>
          <w:szCs w:val="24"/>
        </w:rPr>
        <w:fldChar w:fldCharType="end"/>
      </w:r>
      <w:r>
        <w:rPr>
          <w:rFonts w:hint="eastAsia" w:ascii="Times New Roman" w:eastAsia="宋体"/>
          <w:kern w:val="2"/>
          <w:szCs w:val="24"/>
        </w:rPr>
        <w:t>规定的C点的水平面上方。</w:t>
      </w:r>
      <w:bookmarkEnd w:id="201"/>
    </w:p>
    <w:p>
      <w:pPr>
        <w:pStyle w:val="101"/>
        <w:spacing w:before="0" w:beforeLines="0" w:after="0" w:afterLines="0"/>
        <w:rPr>
          <w:rFonts w:ascii="Times New Roman" w:hAnsi="宋体" w:eastAsia="宋体"/>
          <w:kern w:val="2"/>
          <w:szCs w:val="24"/>
        </w:rPr>
      </w:pPr>
      <w:r>
        <w:rPr>
          <w:rFonts w:hint="eastAsia" w:ascii="Times New Roman" w:hAnsi="宋体" w:eastAsia="宋体"/>
          <w:kern w:val="2"/>
          <w:szCs w:val="24"/>
        </w:rPr>
        <w:t>尽管4.3.3.6有规定，但是在满足下列要求的情况下，M</w:t>
      </w:r>
      <w:r>
        <w:rPr>
          <w:rFonts w:hint="eastAsia" w:ascii="Times New Roman" w:hAnsi="宋体" w:eastAsia="宋体"/>
          <w:kern w:val="2"/>
          <w:szCs w:val="24"/>
          <w:vertAlign w:val="subscript"/>
        </w:rPr>
        <w:t>2</w:t>
      </w:r>
      <w:r>
        <w:rPr>
          <w:rFonts w:hint="eastAsia" w:ascii="Times New Roman" w:hAnsi="宋体" w:eastAsia="宋体"/>
          <w:kern w:val="2"/>
          <w:szCs w:val="24"/>
        </w:rPr>
        <w:t>和M</w:t>
      </w:r>
      <w:r>
        <w:rPr>
          <w:rFonts w:hint="eastAsia" w:ascii="Times New Roman" w:hAnsi="宋体" w:eastAsia="宋体"/>
          <w:kern w:val="2"/>
          <w:szCs w:val="24"/>
          <w:vertAlign w:val="subscript"/>
        </w:rPr>
        <w:t>3</w:t>
      </w:r>
      <w:r>
        <w:rPr>
          <w:rFonts w:hint="eastAsia" w:ascii="Times New Roman" w:hAnsi="宋体" w:eastAsia="宋体"/>
          <w:kern w:val="2"/>
          <w:szCs w:val="24"/>
        </w:rPr>
        <w:t>类车辆的乘员座椅的上有效固定点可以调节到规定的平面之下：</w:t>
      </w:r>
    </w:p>
    <w:p>
      <w:pPr>
        <w:pStyle w:val="238"/>
        <w:numPr>
          <w:ilvl w:val="0"/>
          <w:numId w:val="46"/>
        </w:numPr>
      </w:pPr>
      <w:r>
        <w:rPr>
          <w:rFonts w:hint="eastAsia"/>
        </w:rPr>
        <w:t>安全带或座椅上应有永久性标识以识别4.3.3.6规定的上有效固定点最低位置。该标识应清楚表明成年平均身材乘客使用时的固定点的适当位置；</w:t>
      </w:r>
    </w:p>
    <w:p>
      <w:pPr>
        <w:pStyle w:val="238"/>
        <w:numPr>
          <w:ilvl w:val="0"/>
          <w:numId w:val="46"/>
        </w:numPr>
      </w:pPr>
      <w:r>
        <w:rPr>
          <w:rFonts w:hint="eastAsia"/>
        </w:rPr>
        <w:t>上有效固定点的设计允许佩戴者通过一种手动调节装置方便、容易的调节高度；</w:t>
      </w:r>
    </w:p>
    <w:p>
      <w:pPr>
        <w:pStyle w:val="238"/>
        <w:numPr>
          <w:ilvl w:val="0"/>
          <w:numId w:val="46"/>
        </w:numPr>
      </w:pPr>
      <w:r>
        <w:rPr>
          <w:rFonts w:hint="eastAsia"/>
        </w:rPr>
        <w:t>上有效固定点的设计应防止在正常使用时任何会降低装置有效性的向上移动；</w:t>
      </w:r>
    </w:p>
    <w:p>
      <w:pPr>
        <w:pStyle w:val="238"/>
        <w:numPr>
          <w:ilvl w:val="0"/>
          <w:numId w:val="46"/>
        </w:numPr>
      </w:pPr>
      <w:r>
        <w:rPr>
          <w:rFonts w:hint="eastAsia"/>
        </w:rPr>
        <w:t>当肩部高度调节装置不是直接安装在车辆结构或座椅结构上，而是通过一种柔性肩部高度调节装置来实现时，制造商在车辆手册中应清楚说明此类调节系统的使用方法，应包含对身材矮小乘客使用的适宜性和限制说明。</w:t>
      </w:r>
    </w:p>
    <w:p>
      <w:pPr>
        <w:pStyle w:val="238"/>
        <w:numPr>
          <w:ilvl w:val="0"/>
          <w:numId w:val="46"/>
        </w:numPr>
      </w:pPr>
      <w:r>
        <w:rPr>
          <w:rFonts w:hint="eastAsia"/>
        </w:rPr>
        <w:t>利用安装在其上的约束系统进行型式认证时，</w:t>
      </w:r>
      <w:r>
        <w:t>上述第a)项和d)项中所述的要求仍</w:t>
      </w:r>
      <w:r>
        <w:rPr>
          <w:rFonts w:hint="eastAsia"/>
        </w:rPr>
        <w:t>需满足</w:t>
      </w:r>
      <w:r>
        <w:t>。</w:t>
      </w:r>
    </w:p>
    <w:p>
      <w:pPr>
        <w:pStyle w:val="238"/>
        <w:numPr>
          <w:ilvl w:val="0"/>
          <w:numId w:val="46"/>
        </w:numPr>
      </w:pPr>
      <w:r>
        <w:rPr>
          <w:rFonts w:hint="eastAsia"/>
        </w:rPr>
        <w:t>安全带及其柔性肩部高度调节装置应符合GB14166，上述b</w:t>
      </w:r>
      <w:r>
        <w:t>)项和</w:t>
      </w:r>
      <w:r>
        <w:rPr>
          <w:rFonts w:hint="eastAsia"/>
        </w:rPr>
        <w:t>c</w:t>
      </w:r>
      <w:r>
        <w:t>)项中所述的要求</w:t>
      </w:r>
      <w:r>
        <w:rPr>
          <w:rFonts w:hint="eastAsia"/>
        </w:rPr>
        <w:t>仍需满足GB14166。</w:t>
      </w:r>
    </w:p>
    <w:p>
      <w:pPr>
        <w:pStyle w:val="97"/>
        <w:spacing w:before="0" w:beforeLines="0" w:after="0" w:afterLines="0"/>
        <w:rPr>
          <w:rFonts w:ascii="Times New Roman" w:eastAsia="宋体"/>
          <w:kern w:val="2"/>
          <w:szCs w:val="24"/>
        </w:rPr>
      </w:pPr>
      <w:r>
        <w:rPr>
          <w:rFonts w:hint="eastAsia" w:ascii="Times New Roman" w:eastAsia="宋体"/>
          <w:kern w:val="2"/>
          <w:szCs w:val="24"/>
        </w:rPr>
        <w:t>除</w:t>
      </w:r>
      <w:r>
        <w:rPr>
          <w:rFonts w:ascii="Times New Roman" w:eastAsia="宋体"/>
          <w:kern w:val="2"/>
          <w:szCs w:val="24"/>
        </w:rPr>
        <w:t>4.3.3.1</w:t>
      </w:r>
      <w:r>
        <w:rPr>
          <w:rFonts w:hint="eastAsia" w:ascii="Times New Roman" w:eastAsia="宋体"/>
          <w:kern w:val="2"/>
          <w:szCs w:val="24"/>
        </w:rPr>
        <w:t>规定的上有效固定点外，若满足下述条件之一，可装备另外的附加上有效固定点：</w:t>
      </w:r>
    </w:p>
    <w:p>
      <w:pPr>
        <w:pStyle w:val="238"/>
        <w:numPr>
          <w:ilvl w:val="0"/>
          <w:numId w:val="47"/>
        </w:numPr>
      </w:pPr>
      <w:r>
        <w:rPr>
          <w:rFonts w:hint="eastAsia"/>
        </w:rPr>
        <w:t>附加固定点应符合</w:t>
      </w:r>
      <w:r>
        <w:fldChar w:fldCharType="begin"/>
      </w:r>
      <w:r>
        <w:instrText xml:space="preserve"> </w:instrText>
      </w:r>
      <w:r>
        <w:rPr>
          <w:rFonts w:hint="eastAsia"/>
        </w:rPr>
        <w:instrText xml:space="preserve">REF _Ref276823996 \r \h</w:instrText>
      </w:r>
      <w:r>
        <w:instrText xml:space="preserve">  \* MERGEFORMAT </w:instrText>
      </w:r>
      <w:r>
        <w:fldChar w:fldCharType="separate"/>
      </w:r>
      <w:r>
        <w:rPr>
          <w:rFonts w:hint="eastAsia"/>
        </w:rPr>
        <w:t>4.3.3.1　</w:t>
      </w:r>
      <w:r>
        <w:fldChar w:fldCharType="end"/>
      </w:r>
      <w:r>
        <w:rPr>
          <w:rFonts w:hint="eastAsia"/>
        </w:rPr>
        <w:t>至</w:t>
      </w:r>
      <w:r>
        <w:fldChar w:fldCharType="begin"/>
      </w:r>
      <w:r>
        <w:instrText xml:space="preserve"> </w:instrText>
      </w:r>
      <w:r>
        <w:rPr>
          <w:rFonts w:hint="eastAsia"/>
        </w:rPr>
        <w:instrText xml:space="preserve">REF _Ref276824004 \r \h</w:instrText>
      </w:r>
      <w:r>
        <w:instrText xml:space="preserve">  \* MERGEFORMAT </w:instrText>
      </w:r>
      <w:r>
        <w:fldChar w:fldCharType="separate"/>
      </w:r>
      <w:r>
        <w:rPr>
          <w:rFonts w:hint="eastAsia"/>
        </w:rPr>
        <w:t>4.3.3.6　</w:t>
      </w:r>
      <w:r>
        <w:fldChar w:fldCharType="end"/>
      </w:r>
      <w:r>
        <w:rPr>
          <w:rFonts w:hint="eastAsia"/>
        </w:rPr>
        <w:t>的要求。</w:t>
      </w:r>
    </w:p>
    <w:p>
      <w:pPr>
        <w:pStyle w:val="238"/>
        <w:numPr>
          <w:ilvl w:val="0"/>
          <w:numId w:val="47"/>
        </w:numPr>
      </w:pPr>
      <w:r>
        <w:rPr>
          <w:rFonts w:hint="eastAsia"/>
        </w:rPr>
        <w:t>无需借助工具应能使用附加固定点。该固定点应符合</w:t>
      </w:r>
      <w:r>
        <w:fldChar w:fldCharType="begin"/>
      </w:r>
      <w:r>
        <w:instrText xml:space="preserve"> </w:instrText>
      </w:r>
      <w:r>
        <w:rPr>
          <w:rFonts w:hint="eastAsia"/>
        </w:rPr>
        <w:instrText xml:space="preserve">REF _Ref276824010 \r \h</w:instrText>
      </w:r>
      <w:r>
        <w:instrText xml:space="preserve">  \* MERGEFORMAT </w:instrText>
      </w:r>
      <w:r>
        <w:fldChar w:fldCharType="separate"/>
      </w:r>
      <w:r>
        <w:rPr>
          <w:rFonts w:hint="eastAsia"/>
        </w:rPr>
        <w:t>4.3.3.5　</w:t>
      </w:r>
      <w:r>
        <w:fldChar w:fldCharType="end"/>
      </w:r>
      <w:r>
        <w:rPr>
          <w:rFonts w:hint="eastAsia"/>
        </w:rPr>
        <w:t>和</w:t>
      </w:r>
      <w:r>
        <w:fldChar w:fldCharType="begin"/>
      </w:r>
      <w:r>
        <w:instrText xml:space="preserve"> </w:instrText>
      </w:r>
      <w:r>
        <w:rPr>
          <w:rFonts w:hint="eastAsia"/>
        </w:rPr>
        <w:instrText xml:space="preserve">REF _Ref276824004 \r \h</w:instrText>
      </w:r>
      <w:r>
        <w:instrText xml:space="preserve">  \* MERGEFORMAT </w:instrText>
      </w:r>
      <w:r>
        <w:fldChar w:fldCharType="separate"/>
      </w:r>
      <w:r>
        <w:rPr>
          <w:rFonts w:hint="eastAsia"/>
        </w:rPr>
        <w:t>4.3.3.6　</w:t>
      </w:r>
      <w:r>
        <w:fldChar w:fldCharType="end"/>
      </w:r>
      <w:r>
        <w:rPr>
          <w:rFonts w:hint="eastAsia"/>
        </w:rPr>
        <w:t>的要求,并处于</w:t>
      </w:r>
      <w:r>
        <w:t>图C.1</w:t>
      </w:r>
      <w:r>
        <w:rPr>
          <w:rFonts w:hint="eastAsia"/>
        </w:rPr>
        <w:t>所示沿铅垂方向上下各80 mm所确定的区域内。</w:t>
      </w:r>
    </w:p>
    <w:p>
      <w:pPr>
        <w:pStyle w:val="238"/>
        <w:numPr>
          <w:ilvl w:val="0"/>
          <w:numId w:val="47"/>
        </w:numPr>
      </w:pPr>
      <w:bookmarkStart w:id="202" w:name="_Ref276824131"/>
      <w:r>
        <w:rPr>
          <w:rFonts w:hint="eastAsia"/>
        </w:rPr>
        <w:t>符合</w:t>
      </w:r>
      <w:r>
        <w:t>4.3.3.6</w:t>
      </w:r>
      <w:r>
        <w:rPr>
          <w:rFonts w:hint="eastAsia"/>
        </w:rPr>
        <w:t>规定要求的全背带式安全带的固定点应位于通过躯干线的横向平面之后,并处于下述位置：</w:t>
      </w:r>
      <w:bookmarkEnd w:id="202"/>
    </w:p>
    <w:p>
      <w:pPr>
        <w:pStyle w:val="237"/>
        <w:numPr>
          <w:ilvl w:val="0"/>
          <w:numId w:val="48"/>
        </w:numPr>
        <w:ind w:left="1259"/>
      </w:pPr>
      <w:r>
        <w:rPr>
          <w:rFonts w:hint="eastAsia"/>
        </w:rPr>
        <w:t>对于单固定点，位于通过</w:t>
      </w:r>
      <w:r>
        <w:fldChar w:fldCharType="begin"/>
      </w:r>
      <w:r>
        <w:instrText xml:space="preserve"> </w:instrText>
      </w:r>
      <w:r>
        <w:rPr>
          <w:rFonts w:hint="eastAsia"/>
        </w:rPr>
        <w:instrText xml:space="preserve">REF _Ref276823996 \r \h</w:instrText>
      </w:r>
      <w:r>
        <w:instrText xml:space="preserve">  \* MERGEFORMAT </w:instrText>
      </w:r>
      <w:r>
        <w:fldChar w:fldCharType="separate"/>
      </w:r>
      <w:r>
        <w:rPr>
          <w:rFonts w:hint="eastAsia"/>
        </w:rPr>
        <w:t>4.3.3.1　</w:t>
      </w:r>
      <w:r>
        <w:fldChar w:fldCharType="end"/>
      </w:r>
      <w:r>
        <w:rPr>
          <w:rFonts w:hint="eastAsia"/>
        </w:rPr>
        <w:t>规定的J</w:t>
      </w:r>
      <w:r>
        <w:rPr>
          <w:rFonts w:hint="eastAsia"/>
          <w:vertAlign w:val="subscript"/>
        </w:rPr>
        <w:t>1</w:t>
      </w:r>
      <w:r>
        <w:rPr>
          <w:rFonts w:hint="eastAsia"/>
        </w:rPr>
        <w:t>和J</w:t>
      </w:r>
      <w:r>
        <w:rPr>
          <w:rFonts w:hint="eastAsia"/>
          <w:vertAlign w:val="subscript"/>
        </w:rPr>
        <w:t>2</w:t>
      </w:r>
      <w:r>
        <w:rPr>
          <w:rFonts w:hint="eastAsia"/>
        </w:rPr>
        <w:t>点的两个铅垂面夹角内,其水平截面见本标准</w:t>
      </w:r>
      <w:r>
        <w:fldChar w:fldCharType="begin"/>
      </w:r>
      <w:r>
        <w:instrText xml:space="preserve"> REF _Ref276824067 \r \h  \* MERGEFORMAT </w:instrText>
      </w:r>
      <w:r>
        <w:fldChar w:fldCharType="separate"/>
      </w:r>
      <w:r>
        <w:t>0</w:t>
      </w:r>
      <w:r>
        <w:fldChar w:fldCharType="end"/>
      </w:r>
      <w:r>
        <w:rPr>
          <w:rFonts w:hint="eastAsia"/>
        </w:rPr>
        <w:t>；</w:t>
      </w:r>
    </w:p>
    <w:p>
      <w:pPr>
        <w:pStyle w:val="237"/>
        <w:numPr>
          <w:ilvl w:val="0"/>
          <w:numId w:val="48"/>
        </w:numPr>
        <w:ind w:left="1259"/>
      </w:pPr>
      <w:r>
        <w:rPr>
          <w:rFonts w:hint="eastAsia"/>
        </w:rPr>
        <w:t>对于两个固定点, 固定点可位于上述二点之一的夹角内，同时其中一固定点与另一个固定点相对于</w:t>
      </w:r>
      <w:r>
        <w:fldChar w:fldCharType="begin"/>
      </w:r>
      <w:r>
        <w:instrText xml:space="preserve"> </w:instrText>
      </w:r>
      <w:r>
        <w:rPr>
          <w:rFonts w:hint="eastAsia"/>
        </w:rPr>
        <w:instrText xml:space="preserve">REF _Ref276824075 \r \h</w:instrText>
      </w:r>
      <w:r>
        <w:instrText xml:space="preserve">  \* MERGEFORMAT </w:instrText>
      </w:r>
      <w:r>
        <w:fldChar w:fldCharType="separate"/>
      </w:r>
      <w:r>
        <w:rPr>
          <w:rFonts w:hint="eastAsia"/>
        </w:rPr>
        <w:t>C.1.5　</w:t>
      </w:r>
      <w:r>
        <w:fldChar w:fldCharType="end"/>
      </w:r>
      <w:r>
        <w:rPr>
          <w:rFonts w:hint="eastAsia"/>
        </w:rPr>
        <w:t>规定的座椅的P平面的对称点的距离应不大于50 mm。</w:t>
      </w:r>
    </w:p>
    <w:p>
      <w:pPr>
        <w:pStyle w:val="108"/>
        <w:spacing w:before="156" w:after="156"/>
        <w:ind w:left="0"/>
      </w:pPr>
      <w:bookmarkStart w:id="203" w:name="_Toc327803267"/>
      <w:bookmarkStart w:id="204" w:name="_Toc277059198"/>
      <w:bookmarkStart w:id="205" w:name="_Toc277061659"/>
      <w:bookmarkStart w:id="206" w:name="_Toc276822181"/>
      <w:bookmarkStart w:id="207" w:name="_Toc276987351"/>
      <w:bookmarkStart w:id="208" w:name="_Toc279473133"/>
      <w:bookmarkStart w:id="209" w:name="_Toc282199386"/>
      <w:bookmarkStart w:id="210" w:name="_Toc282778234"/>
      <w:bookmarkStart w:id="211" w:name="_Toc327802983"/>
      <w:bookmarkStart w:id="212" w:name="_Toc337675077"/>
      <w:bookmarkStart w:id="213" w:name="_Toc327905590"/>
      <w:bookmarkStart w:id="214" w:name="_Toc78142667"/>
      <w:bookmarkStart w:id="215" w:name="_Toc307323629"/>
      <w:bookmarkStart w:id="216" w:name="_Toc327803375"/>
      <w:r>
        <w:rPr>
          <w:rFonts w:hint="eastAsia"/>
        </w:rPr>
        <w:t>固定点螺纹孔尺寸</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68"/>
        <w:spacing w:before="0" w:beforeLines="0" w:after="0" w:afterLines="0"/>
        <w:rPr>
          <w:rFonts w:ascii="Times New Roman" w:eastAsia="宋体"/>
          <w:kern w:val="2"/>
          <w:szCs w:val="24"/>
        </w:rPr>
      </w:pPr>
      <w:bookmarkStart w:id="217" w:name="_Ref276824090"/>
      <w:r>
        <w:rPr>
          <w:rFonts w:hint="eastAsia" w:ascii="Times New Roman" w:eastAsia="宋体"/>
          <w:kern w:val="2"/>
          <w:szCs w:val="24"/>
        </w:rPr>
        <w:t>固定点的螺纹孔应为7/16</w:t>
      </w:r>
      <w:r>
        <w:rPr>
          <w:rFonts w:hint="eastAsia" w:ascii="Times New Roman" w:hAnsi="宋体" w:eastAsia="宋体" w:cs="Arial Unicode MS"/>
          <w:kern w:val="2"/>
          <w:szCs w:val="24"/>
        </w:rPr>
        <w:t>〞</w:t>
      </w:r>
      <w:r>
        <w:rPr>
          <w:rFonts w:hint="eastAsia" w:ascii="Times New Roman" w:eastAsia="宋体"/>
          <w:kern w:val="2"/>
          <w:szCs w:val="24"/>
        </w:rPr>
        <w:t>（20 UNF 2B）</w:t>
      </w:r>
      <w:bookmarkEnd w:id="217"/>
      <w:r>
        <w:rPr>
          <w:rFonts w:hint="eastAsia" w:ascii="Times New Roman" w:eastAsia="宋体"/>
          <w:kern w:val="2"/>
          <w:szCs w:val="24"/>
        </w:rPr>
        <w:t>。</w:t>
      </w:r>
    </w:p>
    <w:p>
      <w:pPr>
        <w:pStyle w:val="68"/>
        <w:spacing w:before="0" w:beforeLines="0" w:after="0" w:afterLines="0"/>
        <w:rPr>
          <w:rFonts w:ascii="Times New Roman" w:eastAsia="宋体"/>
          <w:kern w:val="2"/>
          <w:szCs w:val="24"/>
        </w:rPr>
      </w:pPr>
      <w:r>
        <w:rPr>
          <w:rFonts w:hint="eastAsia" w:ascii="Times New Roman" w:eastAsia="宋体"/>
          <w:kern w:val="2"/>
          <w:szCs w:val="24"/>
        </w:rPr>
        <w:t>如果固定点与安全带的连接已由车辆制造商完成，且这些固定点符合本文件的其它规定，则无需满足</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_Ref276824090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4.4.1　</w:t>
      </w:r>
      <w:r>
        <w:rPr>
          <w:rFonts w:ascii="Times New Roman" w:eastAsia="宋体"/>
          <w:kern w:val="2"/>
          <w:szCs w:val="24"/>
        </w:rPr>
        <w:fldChar w:fldCharType="end"/>
      </w:r>
      <w:r>
        <w:rPr>
          <w:rFonts w:hint="eastAsia" w:ascii="Times New Roman" w:eastAsia="宋体"/>
          <w:kern w:val="2"/>
          <w:szCs w:val="24"/>
        </w:rPr>
        <w:t>的要求。此外，</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_Ref276824090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4.4.1　</w:t>
      </w:r>
      <w:r>
        <w:rPr>
          <w:rFonts w:ascii="Times New Roman" w:eastAsia="宋体"/>
          <w:kern w:val="2"/>
          <w:szCs w:val="24"/>
        </w:rPr>
        <w:fldChar w:fldCharType="end"/>
      </w:r>
      <w:r>
        <w:rPr>
          <w:rFonts w:hint="eastAsia" w:ascii="Times New Roman" w:eastAsia="宋体"/>
          <w:kern w:val="2"/>
          <w:szCs w:val="24"/>
        </w:rPr>
        <w:t xml:space="preserve">的要求不适用于满足4.3.3.7 </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_Ref276824131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ascii="Times New Roman" w:eastAsia="宋体"/>
          <w:kern w:val="2"/>
          <w:szCs w:val="24"/>
        </w:rPr>
        <w:t>c)</w:t>
      </w:r>
      <w:r>
        <w:rPr>
          <w:rFonts w:ascii="Times New Roman" w:eastAsia="宋体"/>
          <w:kern w:val="2"/>
          <w:szCs w:val="24"/>
        </w:rPr>
        <w:fldChar w:fldCharType="end"/>
      </w:r>
      <w:r>
        <w:rPr>
          <w:rFonts w:hint="eastAsia" w:ascii="Times New Roman" w:eastAsia="宋体"/>
          <w:kern w:val="2"/>
          <w:szCs w:val="24"/>
        </w:rPr>
        <w:t>要求的附加固定点。</w:t>
      </w:r>
    </w:p>
    <w:p>
      <w:pPr>
        <w:pStyle w:val="68"/>
        <w:spacing w:before="0" w:beforeLines="0" w:after="0" w:afterLines="0"/>
        <w:rPr>
          <w:rFonts w:ascii="Times New Roman" w:eastAsia="宋体"/>
          <w:kern w:val="2"/>
          <w:szCs w:val="24"/>
        </w:rPr>
      </w:pPr>
      <w:r>
        <w:rPr>
          <w:rFonts w:hint="eastAsia" w:ascii="Times New Roman" w:eastAsia="宋体"/>
          <w:kern w:val="2"/>
          <w:szCs w:val="24"/>
        </w:rPr>
        <w:t>拆卸安全带时，应不会损坏安全带固定点。</w:t>
      </w:r>
    </w:p>
    <w:p>
      <w:pPr>
        <w:pStyle w:val="108"/>
        <w:spacing w:before="156" w:after="156"/>
        <w:ind w:left="0"/>
      </w:pPr>
      <w:bookmarkStart w:id="218" w:name="_Toc327803268"/>
      <w:bookmarkStart w:id="219" w:name="_Toc277059199"/>
      <w:bookmarkStart w:id="220" w:name="_Toc327803376"/>
      <w:bookmarkStart w:id="221" w:name="_Toc78142668"/>
      <w:bookmarkStart w:id="222" w:name="_Toc307323630"/>
      <w:bookmarkStart w:id="223" w:name="_Toc277061660"/>
      <w:bookmarkStart w:id="224" w:name="_Toc276987352"/>
      <w:bookmarkStart w:id="225" w:name="_Toc282778235"/>
      <w:bookmarkStart w:id="226" w:name="_Toc327802984"/>
      <w:bookmarkStart w:id="227" w:name="_Toc327905591"/>
      <w:bookmarkStart w:id="228" w:name="_Toc337675078"/>
      <w:bookmarkStart w:id="229" w:name="_Toc276822182"/>
      <w:bookmarkStart w:id="230" w:name="_Toc279473134"/>
      <w:bookmarkStart w:id="231" w:name="_Toc282199387"/>
      <w:r>
        <w:rPr>
          <w:rFonts w:hint="eastAsia"/>
        </w:rPr>
        <w:t>安全带固定点、ISOFIX固定点系统及上拉带固定点以及i-Size乘坐位置的强度</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68"/>
        <w:spacing w:before="0" w:beforeLines="0" w:after="0" w:afterLines="0"/>
        <w:rPr>
          <w:rFonts w:ascii="Times New Roman" w:eastAsia="宋体"/>
          <w:kern w:val="2"/>
          <w:szCs w:val="24"/>
        </w:rPr>
      </w:pPr>
      <w:bookmarkStart w:id="232" w:name="_Ref276824206"/>
      <w:r>
        <w:rPr>
          <w:rFonts w:hint="eastAsia" w:ascii="Times New Roman" w:eastAsia="宋体"/>
          <w:kern w:val="2"/>
          <w:szCs w:val="24"/>
        </w:rPr>
        <w:t>所有的固定点应进行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_Ref276824141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5.3　</w:t>
      </w:r>
      <w:r>
        <w:rPr>
          <w:rFonts w:ascii="Times New Roman" w:eastAsia="宋体"/>
          <w:kern w:val="2"/>
          <w:szCs w:val="24"/>
        </w:rPr>
        <w:fldChar w:fldCharType="end"/>
      </w:r>
      <w:r>
        <w:rPr>
          <w:rFonts w:hint="eastAsia" w:ascii="Times New Roman" w:eastAsia="宋体"/>
          <w:kern w:val="2"/>
          <w:szCs w:val="24"/>
        </w:rPr>
        <w:t>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_Ref276824147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　</w:t>
      </w:r>
      <w:r>
        <w:rPr>
          <w:rFonts w:ascii="Times New Roman" w:eastAsia="宋体"/>
          <w:kern w:val="2"/>
          <w:szCs w:val="24"/>
        </w:rPr>
        <w:fldChar w:fldCharType="end"/>
      </w:r>
      <w:r>
        <w:rPr>
          <w:rFonts w:hint="eastAsia" w:ascii="Times New Roman" w:eastAsia="宋体"/>
          <w:kern w:val="2"/>
          <w:szCs w:val="24"/>
        </w:rPr>
        <w:t>规定的试验。如果在规定的时间内，持续按规定的力加载，则允许固定点或周围区域有永久变形，包括部分断裂或产生裂纹。试验期间，下有效固定点的最小间隔应满足</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_Ref277577957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4.3.2.5　</w:t>
      </w:r>
      <w:r>
        <w:rPr>
          <w:rFonts w:ascii="Times New Roman" w:eastAsia="宋体"/>
          <w:kern w:val="2"/>
          <w:szCs w:val="24"/>
        </w:rPr>
        <w:fldChar w:fldCharType="end"/>
      </w:r>
      <w:r>
        <w:rPr>
          <w:rFonts w:hint="eastAsia" w:ascii="Times New Roman" w:eastAsia="宋体"/>
          <w:kern w:val="2"/>
          <w:szCs w:val="24"/>
        </w:rPr>
        <w:t>的要求，上有效固定点应满足</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_Ref276824004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4.3.3.6　</w:t>
      </w:r>
      <w:r>
        <w:rPr>
          <w:rFonts w:ascii="Times New Roman" w:eastAsia="宋体"/>
          <w:kern w:val="2"/>
          <w:szCs w:val="24"/>
        </w:rPr>
        <w:fldChar w:fldCharType="end"/>
      </w:r>
      <w:r>
        <w:rPr>
          <w:rFonts w:hint="eastAsia" w:ascii="Times New Roman" w:eastAsia="宋体"/>
          <w:kern w:val="2"/>
          <w:szCs w:val="24"/>
        </w:rPr>
        <w:t>的要求。</w:t>
      </w:r>
      <w:bookmarkEnd w:id="232"/>
    </w:p>
    <w:p>
      <w:pPr>
        <w:pStyle w:val="59"/>
        <w:ind w:firstLine="420"/>
      </w:pPr>
      <w:r>
        <w:rPr>
          <w:rFonts w:hint="eastAsia"/>
        </w:rPr>
        <w:t>对最大总质量不大于2 500 kg的M</w:t>
      </w:r>
      <w:r>
        <w:rPr>
          <w:rFonts w:hint="eastAsia"/>
          <w:vertAlign w:val="subscript"/>
        </w:rPr>
        <w:t>1</w:t>
      </w:r>
      <w:r>
        <w:rPr>
          <w:rFonts w:hint="eastAsia"/>
        </w:rPr>
        <w:t>类车辆，若上固定点在座椅结构上，试验期间，上有效固定点前向位移应在通过R点和C点的横向平面以内（见附录</w:t>
      </w:r>
      <w:r>
        <w:t>C图C.1</w:t>
      </w:r>
      <w:r>
        <w:rPr>
          <w:rFonts w:hint="eastAsia"/>
        </w:rPr>
        <w:t>）；对其它车辆，上有效固定点的前向位移不应超出R点平面前倾10</w:t>
      </w:r>
      <w:r>
        <w:rPr>
          <w:rFonts w:ascii="Times New Roman"/>
        </w:rPr>
        <w:t>˚</w:t>
      </w:r>
      <w:r>
        <w:rPr>
          <w:rFonts w:hint="eastAsia"/>
        </w:rPr>
        <w:t>的范围。其最大位移量应在试验期间测量。若上有效固定点位移超出上述范围，制造商应向检验机构证明其对乘员不会造成伤害。</w:t>
      </w:r>
    </w:p>
    <w:p>
      <w:pPr>
        <w:pStyle w:val="68"/>
        <w:spacing w:before="0" w:beforeLines="0" w:after="0" w:afterLines="0"/>
        <w:rPr>
          <w:rFonts w:ascii="Times New Roman" w:eastAsia="宋体"/>
          <w:kern w:val="2"/>
          <w:szCs w:val="24"/>
        </w:rPr>
      </w:pPr>
      <w:r>
        <w:rPr>
          <w:rFonts w:hint="eastAsia" w:ascii="Times New Roman" w:eastAsia="宋体"/>
          <w:kern w:val="2"/>
          <w:szCs w:val="24"/>
        </w:rPr>
        <w:t>卸载后，保证所有座位上的乘员手动操作移位装置和锁止装置即可撤离车辆。</w:t>
      </w:r>
    </w:p>
    <w:p>
      <w:pPr>
        <w:pStyle w:val="68"/>
        <w:spacing w:before="0" w:beforeLines="0" w:after="0" w:afterLines="0"/>
        <w:rPr>
          <w:rFonts w:ascii="Times New Roman" w:eastAsia="宋体"/>
          <w:kern w:val="2"/>
          <w:szCs w:val="24"/>
        </w:rPr>
      </w:pPr>
      <w:r>
        <w:rPr>
          <w:rFonts w:hint="eastAsia" w:ascii="Times New Roman" w:eastAsia="宋体"/>
          <w:kern w:val="2"/>
          <w:szCs w:val="24"/>
        </w:rPr>
        <w:t>试验后，对所有试验时承载的构件及固定点的损坏情况应作记录。</w:t>
      </w:r>
    </w:p>
    <w:p>
      <w:pPr>
        <w:pStyle w:val="68"/>
        <w:spacing w:before="0" w:beforeLines="0" w:after="0" w:afterLines="0"/>
        <w:rPr>
          <w:rFonts w:ascii="Times New Roman" w:eastAsia="宋体"/>
          <w:kern w:val="2"/>
          <w:szCs w:val="24"/>
        </w:rPr>
      </w:pPr>
      <w:r>
        <w:rPr>
          <w:rFonts w:hint="eastAsia" w:ascii="Times New Roman" w:eastAsia="宋体"/>
          <w:kern w:val="2"/>
          <w:szCs w:val="24"/>
        </w:rPr>
        <w:t>对符合GB</w:t>
      </w:r>
      <w:r>
        <w:rPr>
          <w:rFonts w:ascii="Times New Roman" w:eastAsia="宋体"/>
          <w:kern w:val="2"/>
          <w:szCs w:val="24"/>
        </w:rPr>
        <w:t xml:space="preserve"> </w:t>
      </w:r>
      <w:r>
        <w:rPr>
          <w:rFonts w:hint="eastAsia" w:ascii="Times New Roman" w:eastAsia="宋体"/>
          <w:kern w:val="2"/>
          <w:szCs w:val="24"/>
        </w:rPr>
        <w:t>13057要求的M</w:t>
      </w:r>
      <w:r>
        <w:rPr>
          <w:rFonts w:hint="eastAsia" w:ascii="Times New Roman" w:eastAsia="宋体"/>
          <w:kern w:val="2"/>
          <w:szCs w:val="24"/>
          <w:vertAlign w:val="subscript"/>
        </w:rPr>
        <w:t>3</w:t>
      </w:r>
      <w:r>
        <w:rPr>
          <w:rFonts w:hint="eastAsia" w:ascii="Times New Roman" w:eastAsia="宋体"/>
          <w:kern w:val="2"/>
          <w:szCs w:val="24"/>
        </w:rPr>
        <w:t>及最大设计总质量大于3 500 kg的M</w:t>
      </w:r>
      <w:r>
        <w:rPr>
          <w:rFonts w:hint="eastAsia" w:ascii="Times New Roman" w:eastAsia="宋体"/>
          <w:kern w:val="2"/>
          <w:szCs w:val="24"/>
          <w:vertAlign w:val="subscript"/>
        </w:rPr>
        <w:t>2</w:t>
      </w:r>
      <w:r>
        <w:rPr>
          <w:rFonts w:hint="eastAsia" w:ascii="Times New Roman" w:eastAsia="宋体"/>
          <w:kern w:val="2"/>
          <w:szCs w:val="24"/>
        </w:rPr>
        <w:t>类车辆，若上固定点处于座椅上，则无须满足</w:t>
      </w:r>
      <w:r>
        <w:rPr>
          <w:rFonts w:ascii="Times New Roman" w:eastAsia="宋体"/>
          <w:kern w:val="2"/>
          <w:szCs w:val="24"/>
        </w:rPr>
        <w:t>4.5.1</w:t>
      </w:r>
      <w:r>
        <w:rPr>
          <w:rFonts w:hint="eastAsia" w:ascii="Times New Roman" w:eastAsia="宋体"/>
          <w:kern w:val="2"/>
          <w:szCs w:val="24"/>
        </w:rPr>
        <w:t>中关于</w:t>
      </w:r>
      <w:r>
        <w:rPr>
          <w:rFonts w:ascii="Times New Roman" w:eastAsia="宋体"/>
          <w:kern w:val="2"/>
          <w:szCs w:val="24"/>
        </w:rPr>
        <w:t>4.3.3.6</w:t>
      </w:r>
      <w:r>
        <w:rPr>
          <w:rFonts w:hint="eastAsia" w:ascii="Times New Roman" w:eastAsia="宋体"/>
          <w:kern w:val="2"/>
          <w:szCs w:val="24"/>
        </w:rPr>
        <w:t>的要求。</w:t>
      </w:r>
    </w:p>
    <w:p>
      <w:pPr>
        <w:pStyle w:val="68"/>
        <w:spacing w:before="0" w:beforeLines="0" w:after="0" w:afterLines="0"/>
        <w:rPr>
          <w:rFonts w:ascii="Times New Roman" w:eastAsia="宋体"/>
          <w:kern w:val="2"/>
          <w:szCs w:val="24"/>
        </w:rPr>
      </w:pPr>
      <w:r>
        <w:rPr>
          <w:rFonts w:hint="eastAsia" w:ascii="Times New Roman" w:eastAsia="宋体"/>
          <w:kern w:val="2"/>
          <w:szCs w:val="24"/>
        </w:rPr>
        <w:t>按</w:t>
      </w:r>
      <w:r>
        <w:rPr>
          <w:rFonts w:ascii="Times New Roman" w:eastAsia="宋体"/>
          <w:kern w:val="2"/>
          <w:szCs w:val="24"/>
        </w:rPr>
        <w:t>5.6.2.2</w:t>
      </w:r>
      <w:r>
        <w:rPr>
          <w:rFonts w:hint="eastAsia" w:ascii="Times New Roman" w:eastAsia="宋体"/>
          <w:kern w:val="2"/>
          <w:szCs w:val="24"/>
        </w:rPr>
        <w:t>对ISOFIX上的SFAD施加静态载荷，考核ISOFIX固定点系统的强度。对有ISOFIX上拉带固定点的ISOFIX固定点系统还应按5.6.2.3进行试验。加载期间纵向水平位移和斜向力方向位移应不大于125 mm，若在规定的时间保持了所要求的力，允许永久变形和部分开裂，但ISOFIX下固定点、上拉带固定点和周围的区域不应失效。</w:t>
      </w:r>
    </w:p>
    <w:p>
      <w:pPr>
        <w:pStyle w:val="59"/>
        <w:ind w:firstLine="420"/>
        <w:rPr>
          <w:bCs/>
        </w:rPr>
      </w:pPr>
      <w:r>
        <w:rPr>
          <w:rFonts w:hint="eastAsia"/>
        </w:rPr>
        <w:t>对有i-Size乘坐位置的车辆地板强度应按5.6.2.4进行试验。加载期间纵向水平位移应不大于125 mm，若</w:t>
      </w:r>
      <w:r>
        <w:rPr>
          <w:rFonts w:hint="eastAsia"/>
          <w:bCs/>
        </w:rPr>
        <w:t>在规定的时间保持了所要求的力，允许</w:t>
      </w:r>
      <w:r>
        <w:rPr>
          <w:bCs/>
          <w:lang w:val="en-GB"/>
        </w:rPr>
        <w:t>ISOFIX</w:t>
      </w:r>
      <w:r>
        <w:rPr>
          <w:rFonts w:hint="eastAsia"/>
          <w:bCs/>
          <w:lang w:val="en-GB"/>
        </w:rPr>
        <w:t>下固定点和车辆地板接触表面产生</w:t>
      </w:r>
      <w:r>
        <w:rPr>
          <w:rFonts w:hint="eastAsia"/>
          <w:bCs/>
        </w:rPr>
        <w:t>永久变形和部分开裂，但周围的区域不应失效。</w:t>
      </w:r>
    </w:p>
    <w:p>
      <w:pPr>
        <w:pStyle w:val="59"/>
        <w:ind w:firstLine="420"/>
      </w:pPr>
      <w:r>
        <w:rPr>
          <w:rFonts w:hint="eastAsia"/>
        </w:rPr>
        <w:t>对固定点系统在座椅总成上的情况应进行5.6.2.5的附加试验。试验后不应出现裂纹，且应满足加载期间纵向水平位移不大于125 mm的要求。</w:t>
      </w:r>
    </w:p>
    <w:p>
      <w:pPr>
        <w:pStyle w:val="107"/>
        <w:spacing w:before="312" w:after="312"/>
      </w:pPr>
      <w:bookmarkStart w:id="233" w:name="_Toc276822183"/>
      <w:bookmarkStart w:id="234" w:name="_Toc276987353"/>
      <w:bookmarkStart w:id="235" w:name="_Toc277061661"/>
      <w:bookmarkStart w:id="236" w:name="_Toc277059200"/>
      <w:bookmarkStart w:id="237" w:name="_Toc279473135"/>
      <w:bookmarkStart w:id="238" w:name="_Toc282199388"/>
      <w:bookmarkStart w:id="239" w:name="_Toc282778236"/>
      <w:bookmarkStart w:id="240" w:name="_Toc337675079"/>
      <w:bookmarkStart w:id="241" w:name="_Toc96705337"/>
      <w:bookmarkStart w:id="242" w:name="_Toc327802985"/>
      <w:bookmarkStart w:id="243" w:name="_Toc327905592"/>
      <w:bookmarkStart w:id="244" w:name="_Toc78142669"/>
      <w:bookmarkStart w:id="245" w:name="_Toc51404742"/>
      <w:bookmarkStart w:id="246" w:name="_Toc307323631"/>
      <w:bookmarkStart w:id="247" w:name="_Toc327803269"/>
      <w:bookmarkStart w:id="248" w:name="_Toc327803377"/>
      <w:r>
        <w:rPr>
          <w:rFonts w:hint="eastAsia"/>
        </w:rPr>
        <w:t>试验方法</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pStyle w:val="108"/>
        <w:spacing w:before="156" w:after="156"/>
        <w:ind w:left="0"/>
      </w:pPr>
      <w:bookmarkStart w:id="249" w:name="_Toc282778237"/>
      <w:bookmarkStart w:id="250" w:name="_Toc307323632"/>
      <w:bookmarkStart w:id="251" w:name="_Toc327803270"/>
      <w:bookmarkStart w:id="252" w:name="_Ref276825560"/>
      <w:bookmarkStart w:id="253" w:name="_Toc277059201"/>
      <w:bookmarkStart w:id="254" w:name="_Toc327803378"/>
      <w:bookmarkStart w:id="255" w:name="_Toc327905593"/>
      <w:bookmarkStart w:id="256" w:name="_Toc276987354"/>
      <w:bookmarkStart w:id="257" w:name="_Toc337675080"/>
      <w:bookmarkStart w:id="258" w:name="_Toc78142670"/>
      <w:bookmarkStart w:id="259" w:name="_Toc277061662"/>
      <w:bookmarkStart w:id="260" w:name="_Toc279473136"/>
      <w:bookmarkStart w:id="261" w:name="_Toc282199389"/>
      <w:bookmarkStart w:id="262" w:name="_Toc327802986"/>
      <w:bookmarkStart w:id="263" w:name="_Toc276822184"/>
      <w:r>
        <w:rPr>
          <w:rFonts w:hint="eastAsia"/>
        </w:rPr>
        <w:t>总则</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pStyle w:val="68"/>
        <w:spacing w:before="0" w:beforeLines="0" w:after="0" w:afterLines="0"/>
        <w:rPr>
          <w:rFonts w:ascii="Times New Roman" w:eastAsia="宋体"/>
          <w:kern w:val="2"/>
          <w:szCs w:val="24"/>
        </w:rPr>
      </w:pPr>
      <w:r>
        <w:rPr>
          <w:rFonts w:hint="eastAsia" w:ascii="Times New Roman" w:eastAsia="宋体"/>
          <w:kern w:val="2"/>
          <w:szCs w:val="24"/>
        </w:rPr>
        <w:t>按</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_Ref276824246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5.2　</w:t>
      </w:r>
      <w:r>
        <w:rPr>
          <w:rFonts w:ascii="Times New Roman" w:eastAsia="宋体"/>
          <w:kern w:val="2"/>
          <w:szCs w:val="24"/>
        </w:rPr>
        <w:fldChar w:fldCharType="end"/>
      </w:r>
      <w:r>
        <w:rPr>
          <w:rFonts w:hint="eastAsia" w:ascii="Times New Roman" w:eastAsia="宋体"/>
          <w:kern w:val="2"/>
          <w:szCs w:val="24"/>
        </w:rPr>
        <w:t>规定进行试验，并按制造商要求进行车辆的固定。</w:t>
      </w:r>
    </w:p>
    <w:p>
      <w:pPr>
        <w:pStyle w:val="97"/>
        <w:spacing w:before="0" w:beforeLines="0" w:after="0" w:afterLines="0"/>
        <w:rPr>
          <w:rFonts w:ascii="Times New Roman" w:eastAsia="宋体"/>
          <w:kern w:val="2"/>
          <w:szCs w:val="24"/>
        </w:rPr>
      </w:pPr>
      <w:r>
        <w:rPr>
          <w:rFonts w:hint="eastAsia" w:ascii="Times New Roman" w:eastAsia="宋体"/>
          <w:kern w:val="2"/>
          <w:szCs w:val="24"/>
        </w:rPr>
        <w:t>试验在车身框架上进行，或者在整车上进行。</w:t>
      </w:r>
    </w:p>
    <w:p>
      <w:pPr>
        <w:pStyle w:val="97"/>
        <w:spacing w:before="0" w:beforeLines="0" w:after="0" w:afterLines="0"/>
        <w:rPr>
          <w:rFonts w:ascii="Times New Roman" w:eastAsia="宋体"/>
          <w:kern w:val="2"/>
          <w:szCs w:val="24"/>
        </w:rPr>
      </w:pPr>
      <w:r>
        <w:rPr>
          <w:rFonts w:hint="eastAsia" w:ascii="Times New Roman" w:eastAsia="宋体"/>
          <w:kern w:val="2"/>
          <w:szCs w:val="24"/>
        </w:rPr>
        <w:t>满足以下条件的，才允许只做一个或一组座椅的安全带固定点试验：</w:t>
      </w:r>
    </w:p>
    <w:p>
      <w:pPr>
        <w:pStyle w:val="177"/>
        <w:numPr>
          <w:ilvl w:val="0"/>
          <w:numId w:val="49"/>
        </w:numPr>
      </w:pPr>
      <w:r>
        <w:rPr>
          <w:rFonts w:hint="eastAsia"/>
        </w:rPr>
        <w:t>与其它座椅或座椅组对应的固定点结构性能相同；</w:t>
      </w:r>
    </w:p>
    <w:p>
      <w:pPr>
        <w:pStyle w:val="177"/>
      </w:pPr>
      <w:r>
        <w:rPr>
          <w:rFonts w:hint="eastAsia"/>
        </w:rPr>
        <w:t>完全或部分安装在座椅或座椅组上的固定点，该座椅或座椅组的结构特性与其它座椅或座椅组的结构特性相同。</w:t>
      </w:r>
    </w:p>
    <w:p>
      <w:pPr>
        <w:pStyle w:val="97"/>
        <w:spacing w:before="0" w:beforeLines="0" w:after="0" w:afterLines="0"/>
        <w:rPr>
          <w:rFonts w:ascii="Times New Roman" w:eastAsia="宋体"/>
          <w:kern w:val="2"/>
          <w:szCs w:val="24"/>
        </w:rPr>
      </w:pPr>
      <w:r>
        <w:rPr>
          <w:rFonts w:hint="eastAsia" w:ascii="Times New Roman" w:eastAsia="宋体"/>
          <w:kern w:val="2"/>
          <w:szCs w:val="24"/>
        </w:rPr>
        <w:t>装门、窗，或者不装；门、窗关闭，或者打开。</w:t>
      </w:r>
    </w:p>
    <w:p>
      <w:pPr>
        <w:pStyle w:val="97"/>
        <w:spacing w:before="0" w:beforeLines="0" w:after="0" w:afterLines="0"/>
        <w:rPr>
          <w:rFonts w:ascii="Times New Roman" w:eastAsia="宋体"/>
          <w:kern w:val="2"/>
          <w:szCs w:val="24"/>
        </w:rPr>
      </w:pPr>
      <w:r>
        <w:rPr>
          <w:rFonts w:hint="eastAsia" w:ascii="Times New Roman" w:eastAsia="宋体"/>
          <w:kern w:val="2"/>
          <w:szCs w:val="24"/>
        </w:rPr>
        <w:t>允许保留增强车辆结构的正常装备。</w:t>
      </w:r>
    </w:p>
    <w:p>
      <w:pPr>
        <w:pStyle w:val="68"/>
        <w:spacing w:before="0" w:beforeLines="0" w:after="0" w:afterLines="0"/>
        <w:rPr>
          <w:rFonts w:ascii="Times New Roman" w:eastAsia="宋体"/>
          <w:kern w:val="2"/>
          <w:szCs w:val="24"/>
        </w:rPr>
      </w:pPr>
      <w:bookmarkStart w:id="264" w:name="_Ref276825582"/>
      <w:r>
        <w:rPr>
          <w:rFonts w:hint="eastAsia" w:ascii="Times New Roman" w:eastAsia="宋体"/>
          <w:kern w:val="2"/>
          <w:szCs w:val="24"/>
        </w:rPr>
        <w:t>座椅应放置在对强度最为不利的驾驶或使用位置，座椅的位置应在检验报告中予以说明。如果靠背角可调，应调至制造商的规定位置；或保证M</w:t>
      </w:r>
      <w:r>
        <w:rPr>
          <w:rFonts w:hint="eastAsia" w:ascii="Times New Roman" w:eastAsia="宋体"/>
          <w:kern w:val="2"/>
          <w:szCs w:val="24"/>
          <w:vertAlign w:val="subscript"/>
        </w:rPr>
        <w:t>1</w:t>
      </w:r>
      <w:r>
        <w:rPr>
          <w:rFonts w:hint="eastAsia" w:ascii="Times New Roman" w:eastAsia="宋体"/>
          <w:kern w:val="2"/>
          <w:szCs w:val="24"/>
        </w:rPr>
        <w:t>和N</w:t>
      </w:r>
      <w:r>
        <w:rPr>
          <w:rFonts w:hint="eastAsia" w:ascii="Times New Roman" w:eastAsia="宋体"/>
          <w:kern w:val="2"/>
          <w:szCs w:val="24"/>
          <w:vertAlign w:val="subscript"/>
        </w:rPr>
        <w:t>1</w:t>
      </w:r>
      <w:r>
        <w:rPr>
          <w:rFonts w:hint="eastAsia" w:ascii="Times New Roman" w:eastAsia="宋体"/>
          <w:kern w:val="2"/>
          <w:szCs w:val="24"/>
        </w:rPr>
        <w:t>类车辆座椅实际靠背角尽可能为25</w:t>
      </w:r>
      <w:r>
        <w:rPr>
          <w:rFonts w:ascii="Times New Roman" w:eastAsia="宋体"/>
          <w:kern w:val="2"/>
          <w:szCs w:val="24"/>
        </w:rPr>
        <w:t>˚</w:t>
      </w:r>
      <w:r>
        <w:rPr>
          <w:rFonts w:hint="eastAsia" w:ascii="Times New Roman" w:eastAsia="宋体"/>
          <w:kern w:val="2"/>
          <w:szCs w:val="24"/>
        </w:rPr>
        <w:t>，其它类别车辆为15</w:t>
      </w:r>
      <w:r>
        <w:rPr>
          <w:rFonts w:ascii="Times New Roman" w:eastAsia="宋体"/>
          <w:kern w:val="2"/>
          <w:szCs w:val="24"/>
        </w:rPr>
        <w:t>˚</w:t>
      </w:r>
      <w:r>
        <w:rPr>
          <w:rFonts w:hint="eastAsia" w:ascii="Times New Roman" w:eastAsia="宋体"/>
          <w:kern w:val="2"/>
          <w:szCs w:val="24"/>
        </w:rPr>
        <w:t>。</w:t>
      </w:r>
      <w:bookmarkEnd w:id="264"/>
    </w:p>
    <w:p>
      <w:pPr>
        <w:pStyle w:val="108"/>
        <w:spacing w:before="156" w:after="156"/>
        <w:ind w:left="0"/>
      </w:pPr>
      <w:bookmarkStart w:id="265" w:name="_Toc279473137"/>
      <w:bookmarkStart w:id="266" w:name="_Toc282199390"/>
      <w:bookmarkStart w:id="267" w:name="_Toc282778238"/>
      <w:bookmarkStart w:id="268" w:name="_Toc327802987"/>
      <w:bookmarkStart w:id="269" w:name="_Toc277059202"/>
      <w:bookmarkStart w:id="270" w:name="_Toc327803271"/>
      <w:bookmarkStart w:id="271" w:name="_Toc307323633"/>
      <w:bookmarkStart w:id="272" w:name="_Toc327803379"/>
      <w:bookmarkStart w:id="273" w:name="_Toc327905594"/>
      <w:bookmarkStart w:id="274" w:name="_Toc337675081"/>
      <w:bookmarkStart w:id="275" w:name="_Toc276822185"/>
      <w:bookmarkStart w:id="276" w:name="_Ref276824246"/>
      <w:bookmarkStart w:id="277" w:name="_Toc276987355"/>
      <w:bookmarkStart w:id="278" w:name="_Ref276825569"/>
      <w:bookmarkStart w:id="279" w:name="_Toc277061663"/>
      <w:bookmarkStart w:id="280" w:name="_Toc78142671"/>
      <w:r>
        <w:rPr>
          <w:rFonts w:hint="eastAsia"/>
        </w:rPr>
        <w:t>车辆的固定</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68"/>
        <w:spacing w:before="0" w:beforeLines="0" w:after="0" w:afterLines="0"/>
        <w:rPr>
          <w:rFonts w:ascii="Times New Roman" w:eastAsia="宋体"/>
          <w:kern w:val="2"/>
          <w:szCs w:val="24"/>
        </w:rPr>
      </w:pPr>
      <w:bookmarkStart w:id="281" w:name="_Ref276824260"/>
      <w:r>
        <w:rPr>
          <w:rFonts w:hint="eastAsia" w:ascii="Times New Roman" w:eastAsia="宋体"/>
          <w:kern w:val="2"/>
          <w:szCs w:val="24"/>
        </w:rPr>
        <w:t>试验时，所有固定车辆的方法均不得对安全带固定点和ISOFIX固定点及其周围部分起加强作用，同时亦不得减弱结构正常的变形。</w:t>
      </w:r>
      <w:bookmarkEnd w:id="281"/>
    </w:p>
    <w:p>
      <w:pPr>
        <w:pStyle w:val="68"/>
        <w:spacing w:before="0" w:beforeLines="0" w:after="0" w:afterLines="0"/>
        <w:rPr>
          <w:rFonts w:ascii="Times New Roman" w:eastAsia="宋体"/>
          <w:kern w:val="2"/>
          <w:szCs w:val="24"/>
        </w:rPr>
      </w:pPr>
      <w:r>
        <w:rPr>
          <w:rFonts w:hint="eastAsia" w:ascii="Times New Roman" w:eastAsia="宋体"/>
          <w:kern w:val="2"/>
          <w:szCs w:val="24"/>
        </w:rPr>
        <w:t>所有固定车辆的装置应距被测固定点前方不小于500 mm或后方不小于300 mm处,且不得影响整个宽度范围内的车身结构。</w:t>
      </w:r>
    </w:p>
    <w:p>
      <w:pPr>
        <w:pStyle w:val="68"/>
        <w:spacing w:before="0" w:beforeLines="0" w:after="0" w:afterLines="0"/>
        <w:rPr>
          <w:rFonts w:ascii="Times New Roman" w:eastAsia="宋体"/>
          <w:kern w:val="2"/>
          <w:szCs w:val="24"/>
        </w:rPr>
      </w:pPr>
      <w:bookmarkStart w:id="282" w:name="_Ref276824266"/>
      <w:r>
        <w:rPr>
          <w:rFonts w:hint="eastAsia" w:ascii="Times New Roman" w:eastAsia="宋体"/>
          <w:kern w:val="2"/>
          <w:szCs w:val="24"/>
        </w:rPr>
        <w:t>宜将构架固定于接近车轮轴线或悬架连接点的支承物上。</w:t>
      </w:r>
      <w:bookmarkEnd w:id="282"/>
    </w:p>
    <w:p>
      <w:pPr>
        <w:pStyle w:val="68"/>
        <w:spacing w:before="0" w:beforeLines="0" w:after="0" w:afterLines="0"/>
        <w:rPr>
          <w:rFonts w:ascii="Times New Roman" w:eastAsia="宋体"/>
          <w:kern w:val="2"/>
          <w:szCs w:val="24"/>
        </w:rPr>
      </w:pPr>
      <w:r>
        <w:rPr>
          <w:rFonts w:hint="eastAsia" w:ascii="Times New Roman" w:eastAsia="宋体"/>
          <w:kern w:val="2"/>
          <w:szCs w:val="24"/>
        </w:rPr>
        <w:t>如果采用与</w:t>
      </w:r>
      <w:r>
        <w:rPr>
          <w:rFonts w:ascii="Times New Roman" w:eastAsia="宋体"/>
          <w:kern w:val="2"/>
          <w:szCs w:val="24"/>
        </w:rPr>
        <w:t>5.2.1</w:t>
      </w:r>
      <w:r>
        <w:rPr>
          <w:rFonts w:hint="eastAsia" w:ascii="Times New Roman" w:eastAsia="宋体"/>
          <w:kern w:val="2"/>
          <w:szCs w:val="24"/>
        </w:rPr>
        <w:t>至</w:t>
      </w:r>
      <w:r>
        <w:rPr>
          <w:rFonts w:ascii="Times New Roman" w:eastAsia="宋体"/>
          <w:kern w:val="2"/>
          <w:szCs w:val="24"/>
        </w:rPr>
        <w:t>5.2.3</w:t>
      </w:r>
      <w:r>
        <w:rPr>
          <w:rFonts w:hint="eastAsia" w:ascii="Times New Roman" w:eastAsia="宋体"/>
          <w:kern w:val="2"/>
          <w:szCs w:val="24"/>
        </w:rPr>
        <w:t>规定不相同的固定方法，则应证明其等效性。</w:t>
      </w:r>
    </w:p>
    <w:p>
      <w:pPr>
        <w:pStyle w:val="108"/>
        <w:spacing w:before="156" w:after="156"/>
        <w:ind w:left="0"/>
      </w:pPr>
      <w:bookmarkStart w:id="283" w:name="_Ref276825504"/>
      <w:bookmarkStart w:id="284" w:name="_Toc277059203"/>
      <w:bookmarkStart w:id="285" w:name="_Ref276824141"/>
      <w:bookmarkStart w:id="286" w:name="_Toc276822186"/>
      <w:bookmarkStart w:id="287" w:name="_Toc276987356"/>
      <w:bookmarkStart w:id="288" w:name="_Toc277061664"/>
      <w:bookmarkStart w:id="289" w:name="_Toc279473138"/>
      <w:bookmarkStart w:id="290" w:name="_Toc327803380"/>
      <w:bookmarkStart w:id="291" w:name="_Toc327905595"/>
      <w:bookmarkStart w:id="292" w:name="_Toc337675082"/>
      <w:bookmarkStart w:id="293" w:name="_Toc307323634"/>
      <w:bookmarkStart w:id="294" w:name="_Toc282778239"/>
      <w:bookmarkStart w:id="295" w:name="_Toc327803272"/>
      <w:bookmarkStart w:id="296" w:name="_Toc282199391"/>
      <w:bookmarkStart w:id="297" w:name="_Toc327802988"/>
      <w:bookmarkStart w:id="298" w:name="_Ref327900724"/>
      <w:bookmarkStart w:id="299" w:name="_Ref336445528"/>
      <w:bookmarkStart w:id="300" w:name="_Toc78142672"/>
      <w:r>
        <w:rPr>
          <w:rFonts w:hint="eastAsia"/>
        </w:rPr>
        <w:t>试验条件</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pStyle w:val="68"/>
        <w:spacing w:before="0" w:beforeLines="0" w:after="0" w:afterLines="0"/>
        <w:rPr>
          <w:rFonts w:ascii="Times New Roman" w:eastAsia="宋体"/>
          <w:kern w:val="2"/>
          <w:szCs w:val="24"/>
        </w:rPr>
      </w:pPr>
      <w:r>
        <w:rPr>
          <w:rFonts w:hint="eastAsia" w:ascii="Times New Roman" w:eastAsia="宋体"/>
          <w:kern w:val="2"/>
          <w:szCs w:val="24"/>
        </w:rPr>
        <w:t>同一组座椅的全部安全带固定点应同时进行试验。若有可能因座椅或固定点的非对称性加载而导致试验失败，则可进行一次追加试验。</w:t>
      </w:r>
    </w:p>
    <w:p>
      <w:pPr>
        <w:pStyle w:val="68"/>
        <w:spacing w:before="0" w:beforeLines="0" w:after="0" w:afterLines="0"/>
        <w:rPr>
          <w:rFonts w:ascii="Times New Roman" w:eastAsia="宋体"/>
          <w:kern w:val="2"/>
          <w:szCs w:val="24"/>
        </w:rPr>
      </w:pPr>
      <w:r>
        <w:rPr>
          <w:rFonts w:hint="eastAsia" w:ascii="Times New Roman" w:eastAsia="宋体"/>
          <w:kern w:val="2"/>
          <w:szCs w:val="24"/>
        </w:rPr>
        <w:t>沿平行于车辆纵向中心平面并与水平线成向上10</w:t>
      </w:r>
      <w:r>
        <w:rPr>
          <w:rFonts w:ascii="Times New Roman" w:eastAsia="宋体"/>
          <w:kern w:val="2"/>
          <w:szCs w:val="24"/>
        </w:rPr>
        <w:t>˚</w:t>
      </w:r>
      <w:r>
        <w:rPr>
          <w:rFonts w:hint="eastAsia" w:ascii="Times New Roman" w:eastAsia="宋体"/>
          <w:kern w:val="2"/>
          <w:szCs w:val="24"/>
        </w:rPr>
        <w:sym w:font="Symbol" w:char="F0B1"/>
      </w:r>
      <w:r>
        <w:rPr>
          <w:rFonts w:hint="eastAsia" w:ascii="Times New Roman" w:eastAsia="宋体"/>
          <w:kern w:val="2"/>
          <w:szCs w:val="24"/>
        </w:rPr>
        <w:t>5</w:t>
      </w:r>
      <w:r>
        <w:rPr>
          <w:rFonts w:ascii="Times New Roman" w:eastAsia="宋体"/>
          <w:kern w:val="2"/>
          <w:szCs w:val="24"/>
        </w:rPr>
        <w:t>˚</w:t>
      </w:r>
      <w:r>
        <w:rPr>
          <w:rFonts w:hint="eastAsia" w:ascii="Times New Roman" w:eastAsia="宋体"/>
          <w:kern w:val="2"/>
          <w:szCs w:val="24"/>
        </w:rPr>
        <w:t>的方向施加载荷。先施加总载荷10％（误差</w:t>
      </w:r>
      <w:r>
        <w:rPr>
          <w:rFonts w:ascii="Times New Roman" w:eastAsia="宋体"/>
          <w:kern w:val="2"/>
          <w:szCs w:val="24"/>
        </w:rPr>
        <w:t>±</w:t>
      </w:r>
      <w:r>
        <w:rPr>
          <w:rFonts w:hint="eastAsia" w:ascii="Times New Roman" w:eastAsia="宋体"/>
          <w:kern w:val="2"/>
          <w:szCs w:val="24"/>
        </w:rPr>
        <w:t>30％）的预加载，然后增加载荷至总载荷。</w:t>
      </w:r>
    </w:p>
    <w:p>
      <w:pPr>
        <w:pStyle w:val="68"/>
        <w:spacing w:before="0" w:beforeLines="0" w:after="0" w:afterLines="0"/>
        <w:rPr>
          <w:rFonts w:ascii="Times New Roman" w:eastAsia="宋体"/>
          <w:kern w:val="2"/>
          <w:szCs w:val="24"/>
        </w:rPr>
      </w:pPr>
      <w:r>
        <w:rPr>
          <w:rFonts w:hint="eastAsia" w:ascii="Times New Roman" w:eastAsia="宋体"/>
          <w:kern w:val="2"/>
          <w:szCs w:val="24"/>
        </w:rPr>
        <w:t>在60s内加载至规定值，应制造商要求也可在4s内加载至规定值,并至少保持0.2s。</w:t>
      </w:r>
    </w:p>
    <w:p>
      <w:pPr>
        <w:pStyle w:val="68"/>
        <w:spacing w:before="0" w:beforeLines="0" w:after="0" w:afterLines="0"/>
        <w:rPr>
          <w:rFonts w:ascii="Times New Roman" w:eastAsia="宋体"/>
          <w:kern w:val="2"/>
          <w:szCs w:val="24"/>
        </w:rPr>
      </w:pPr>
      <w:r>
        <w:rPr>
          <w:rFonts w:hint="eastAsia" w:ascii="Times New Roman" w:eastAsia="宋体"/>
          <w:kern w:val="2"/>
          <w:szCs w:val="24"/>
        </w:rPr>
        <w:t>用于试验的人体模块见</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_Ref276824280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　</w:t>
      </w:r>
      <w:r>
        <w:rPr>
          <w:rFonts w:ascii="Times New Roman" w:eastAsia="宋体"/>
          <w:kern w:val="2"/>
          <w:szCs w:val="24"/>
        </w:rPr>
        <w:fldChar w:fldCharType="end"/>
      </w:r>
      <w:r>
        <w:rPr>
          <w:rFonts w:hint="eastAsia" w:ascii="Times New Roman" w:eastAsia="宋体"/>
          <w:kern w:val="2"/>
          <w:szCs w:val="24"/>
        </w:rPr>
        <w:t>和附录</w:t>
      </w:r>
      <w:r>
        <w:rPr>
          <w:rFonts w:ascii="Times New Roman" w:eastAsia="宋体"/>
          <w:kern w:val="2"/>
          <w:szCs w:val="24"/>
        </w:rPr>
        <w:t>D</w:t>
      </w:r>
      <w:r>
        <w:rPr>
          <w:rFonts w:hint="eastAsia" w:ascii="Times New Roman" w:eastAsia="宋体"/>
          <w:kern w:val="2"/>
          <w:szCs w:val="24"/>
        </w:rPr>
        <w:t>。将图</w:t>
      </w:r>
      <w:r>
        <w:rPr>
          <w:rFonts w:ascii="Times New Roman" w:eastAsia="宋体"/>
          <w:kern w:val="2"/>
          <w:szCs w:val="24"/>
        </w:rPr>
        <w:t>D.1</w:t>
      </w:r>
      <w:r>
        <w:rPr>
          <w:rFonts w:hint="eastAsia" w:ascii="Times New Roman" w:eastAsia="宋体"/>
          <w:kern w:val="2"/>
          <w:szCs w:val="24"/>
        </w:rPr>
        <w:t>的装置放在座垫上面，尽量向后推至靠背，安全带向后拉紧。将图</w:t>
      </w:r>
      <w:r>
        <w:rPr>
          <w:rFonts w:ascii="Times New Roman" w:eastAsia="宋体"/>
          <w:kern w:val="2"/>
          <w:szCs w:val="24"/>
        </w:rPr>
        <w:t>D.2</w:t>
      </w:r>
      <w:r>
        <w:rPr>
          <w:rFonts w:hint="eastAsia" w:ascii="Times New Roman" w:eastAsia="宋体"/>
          <w:kern w:val="2"/>
          <w:szCs w:val="24"/>
        </w:rPr>
        <w:t>的装置放置到位，安全带置于装置上拉紧。此时不必进行预加载。每个乘坐位置选用的254 mm或406 mm的人体模块,其宽度应尽量接近两下固定点间的距离。人体模块的放置应避免试验时对加载力和力分布的影响。</w:t>
      </w:r>
    </w:p>
    <w:p>
      <w:pPr>
        <w:pStyle w:val="68"/>
        <w:spacing w:before="0" w:beforeLines="0" w:after="0" w:afterLines="0"/>
        <w:rPr>
          <w:rFonts w:ascii="Times New Roman" w:eastAsia="宋体"/>
          <w:kern w:val="2"/>
          <w:szCs w:val="24"/>
        </w:rPr>
      </w:pPr>
      <w:r>
        <w:rPr>
          <w:rFonts w:hint="eastAsia" w:ascii="Times New Roman" w:eastAsia="宋体"/>
          <w:kern w:val="2"/>
          <w:szCs w:val="24"/>
        </w:rPr>
        <w:t>安全带上固定点的试验条件如下：</w:t>
      </w:r>
    </w:p>
    <w:p>
      <w:pPr>
        <w:pStyle w:val="177"/>
        <w:numPr>
          <w:ilvl w:val="0"/>
          <w:numId w:val="50"/>
        </w:numPr>
      </w:pPr>
      <w:r>
        <w:rPr>
          <w:rFonts w:hint="eastAsia"/>
        </w:rPr>
        <w:t>前排外侧座椅</w:t>
      </w:r>
    </w:p>
    <w:p>
      <w:pPr>
        <w:pStyle w:val="232"/>
        <w:ind w:left="839" w:firstLine="0" w:firstLineChars="0"/>
      </w:pPr>
      <w:r>
        <w:rPr>
          <w:rFonts w:hint="eastAsia"/>
        </w:rPr>
        <w:t>安全带固定点应进行</w:t>
      </w:r>
      <w:r>
        <w:fldChar w:fldCharType="begin"/>
      </w:r>
      <w:r>
        <w:instrText xml:space="preserve"> </w:instrText>
      </w:r>
      <w:r>
        <w:rPr>
          <w:rFonts w:hint="eastAsia"/>
        </w:rPr>
        <w:instrText xml:space="preserve">REF _Ref276824321 \r \h</w:instrText>
      </w:r>
      <w:r>
        <w:instrText xml:space="preserve">  \* MERGEFORMAT </w:instrText>
      </w:r>
      <w:r>
        <w:fldChar w:fldCharType="separate"/>
      </w:r>
      <w:r>
        <w:rPr>
          <w:rFonts w:hint="eastAsia"/>
        </w:rPr>
        <w:t>5.4.1　</w:t>
      </w:r>
      <w:r>
        <w:fldChar w:fldCharType="end"/>
      </w:r>
      <w:r>
        <w:rPr>
          <w:rFonts w:hint="eastAsia"/>
        </w:rPr>
        <w:t>规定的试验，试验时利用配有卷收器或上部织带导向件的模拟三点式安全带，将载荷传递至三个固定点。此外，如果固定点的数量比</w:t>
      </w:r>
      <w:r>
        <w:fldChar w:fldCharType="begin"/>
      </w:r>
      <w:r>
        <w:instrText xml:space="preserve"> </w:instrText>
      </w:r>
      <w:r>
        <w:rPr>
          <w:rFonts w:hint="eastAsia"/>
        </w:rPr>
        <w:instrText xml:space="preserve">REF _Ref327891276 \r \h</w:instrText>
      </w:r>
      <w:r>
        <w:instrText xml:space="preserve">  \* MERGEFORMAT </w:instrText>
      </w:r>
      <w:r>
        <w:fldChar w:fldCharType="separate"/>
      </w:r>
      <w:r>
        <w:rPr>
          <w:rFonts w:hint="eastAsia"/>
        </w:rPr>
        <w:t>4.2　</w:t>
      </w:r>
      <w:r>
        <w:fldChar w:fldCharType="end"/>
      </w:r>
      <w:r>
        <w:rPr>
          <w:rFonts w:hint="eastAsia"/>
        </w:rPr>
        <w:t>规定的多，这些固定点应按</w:t>
      </w:r>
      <w:r>
        <w:fldChar w:fldCharType="begin"/>
      </w:r>
      <w:r>
        <w:instrText xml:space="preserve"> </w:instrText>
      </w:r>
      <w:r>
        <w:rPr>
          <w:rFonts w:hint="eastAsia"/>
        </w:rPr>
        <w:instrText xml:space="preserve">REF _Ref276824327 \r \h</w:instrText>
      </w:r>
      <w:r>
        <w:instrText xml:space="preserve">  \* MERGEFORMAT </w:instrText>
      </w:r>
      <w:r>
        <w:fldChar w:fldCharType="separate"/>
      </w:r>
      <w:r>
        <w:rPr>
          <w:rFonts w:hint="eastAsia"/>
        </w:rPr>
        <w:t>5.4.5　</w:t>
      </w:r>
      <w:r>
        <w:fldChar w:fldCharType="end"/>
      </w:r>
      <w:r>
        <w:rPr>
          <w:rFonts w:hint="eastAsia"/>
        </w:rPr>
        <w:t>的规定进行试验。试验时利用模拟安全带加载。</w:t>
      </w:r>
    </w:p>
    <w:p>
      <w:pPr>
        <w:pStyle w:val="237"/>
        <w:numPr>
          <w:ilvl w:val="0"/>
          <w:numId w:val="51"/>
        </w:numPr>
        <w:ind w:left="1259"/>
      </w:pPr>
      <w:r>
        <w:rPr>
          <w:rFonts w:hint="eastAsia"/>
        </w:rPr>
        <w:t>若安全带外侧下固定点未装卷收器，或卷收器装在安全带上固定点处时，其下固定点也应进行</w:t>
      </w:r>
      <w:r>
        <w:fldChar w:fldCharType="begin"/>
      </w:r>
      <w:r>
        <w:instrText xml:space="preserve"> </w:instrText>
      </w:r>
      <w:r>
        <w:rPr>
          <w:rFonts w:hint="eastAsia"/>
        </w:rPr>
        <w:instrText xml:space="preserve">REF _Ref276824335 \r \h</w:instrText>
      </w:r>
      <w:r>
        <w:instrText xml:space="preserve">  \* MERGEFORMAT </w:instrText>
      </w:r>
      <w:r>
        <w:fldChar w:fldCharType="separate"/>
      </w:r>
      <w:r>
        <w:rPr>
          <w:rFonts w:hint="eastAsia"/>
        </w:rPr>
        <w:t>5.4.3　</w:t>
      </w:r>
      <w:r>
        <w:fldChar w:fldCharType="end"/>
      </w:r>
      <w:r>
        <w:rPr>
          <w:rFonts w:hint="eastAsia"/>
        </w:rPr>
        <w:t>规定的试验。</w:t>
      </w:r>
    </w:p>
    <w:p>
      <w:pPr>
        <w:pStyle w:val="237"/>
        <w:numPr>
          <w:ilvl w:val="0"/>
          <w:numId w:val="51"/>
        </w:numPr>
        <w:ind w:left="1259"/>
      </w:pPr>
      <w:r>
        <w:rPr>
          <w:rFonts w:hint="eastAsia"/>
        </w:rPr>
        <w:t>在上述情况中，若制造商提出要求，</w:t>
      </w:r>
      <w:r>
        <w:t>5.4.1</w:t>
      </w:r>
      <w:r>
        <w:rPr>
          <w:rFonts w:hint="eastAsia"/>
        </w:rPr>
        <w:t>和</w:t>
      </w:r>
      <w:r>
        <w:t>5.4.3</w:t>
      </w:r>
      <w:r>
        <w:rPr>
          <w:rFonts w:hint="eastAsia"/>
        </w:rPr>
        <w:t>规定的试验可分别在不同的车身上进行。</w:t>
      </w:r>
    </w:p>
    <w:p>
      <w:pPr>
        <w:pStyle w:val="177"/>
      </w:pPr>
      <w:r>
        <w:rPr>
          <w:rFonts w:hint="eastAsia"/>
        </w:rPr>
        <w:t>后排外侧座椅和所有中间座椅</w:t>
      </w:r>
    </w:p>
    <w:p>
      <w:pPr>
        <w:pStyle w:val="232"/>
        <w:ind w:left="839" w:firstLine="0" w:firstLineChars="0"/>
      </w:pPr>
      <w:r>
        <w:rPr>
          <w:rFonts w:hint="eastAsia"/>
        </w:rPr>
        <w:t>安全带固定点应进行</w:t>
      </w:r>
      <w:r>
        <w:fldChar w:fldCharType="begin"/>
      </w:r>
      <w:r>
        <w:instrText xml:space="preserve"> </w:instrText>
      </w:r>
      <w:r>
        <w:rPr>
          <w:rFonts w:hint="eastAsia"/>
        </w:rPr>
        <w:instrText xml:space="preserve">REF _Ref276824357 \r \h</w:instrText>
      </w:r>
      <w:r>
        <w:instrText xml:space="preserve">  \* MERGEFORMAT </w:instrText>
      </w:r>
      <w:r>
        <w:fldChar w:fldCharType="separate"/>
      </w:r>
      <w:r>
        <w:rPr>
          <w:rFonts w:hint="eastAsia"/>
        </w:rPr>
        <w:t>5.4.2　</w:t>
      </w:r>
      <w:r>
        <w:fldChar w:fldCharType="end"/>
      </w:r>
      <w:r>
        <w:rPr>
          <w:rFonts w:hint="eastAsia"/>
        </w:rPr>
        <w:t>规定的试验，试验时利用模拟无卷收器三点式安全带加载，且应进行</w:t>
      </w:r>
      <w:r>
        <w:fldChar w:fldCharType="begin"/>
      </w:r>
      <w:r>
        <w:instrText xml:space="preserve"> </w:instrText>
      </w:r>
      <w:r>
        <w:rPr>
          <w:rFonts w:hint="eastAsia"/>
        </w:rPr>
        <w:instrText xml:space="preserve">REF _Ref276824335 \r \h</w:instrText>
      </w:r>
      <w:r>
        <w:instrText xml:space="preserve">  \* MERGEFORMAT </w:instrText>
      </w:r>
      <w:r>
        <w:fldChar w:fldCharType="separate"/>
      </w:r>
      <w:r>
        <w:rPr>
          <w:rFonts w:hint="eastAsia"/>
        </w:rPr>
        <w:t>5.4.3　</w:t>
      </w:r>
      <w:r>
        <w:fldChar w:fldCharType="end"/>
      </w:r>
      <w:r>
        <w:rPr>
          <w:rFonts w:hint="eastAsia"/>
        </w:rPr>
        <w:t>规定的试验，试验时利用模拟腰带对两个下固定点加载。若制造商提出要求，两项试验可分别在不同的车身上进行。</w:t>
      </w:r>
    </w:p>
    <w:p>
      <w:pPr>
        <w:pStyle w:val="177"/>
      </w:pPr>
      <w:r>
        <w:rPr>
          <w:rFonts w:hint="eastAsia"/>
        </w:rPr>
        <w:t>当制造商提供装有安全带的车辆时，应制造商的要求，可使用车辆上的安全带进行试验。</w:t>
      </w:r>
    </w:p>
    <w:p>
      <w:pPr>
        <w:pStyle w:val="68"/>
        <w:spacing w:before="0" w:beforeLines="0" w:after="0" w:afterLines="0"/>
        <w:rPr>
          <w:rFonts w:ascii="Times New Roman" w:eastAsia="宋体"/>
          <w:kern w:val="2"/>
          <w:szCs w:val="24"/>
        </w:rPr>
      </w:pPr>
      <w:r>
        <w:rPr>
          <w:rFonts w:hint="eastAsia" w:ascii="Times New Roman" w:eastAsia="宋体"/>
          <w:kern w:val="2"/>
          <w:szCs w:val="24"/>
        </w:rPr>
        <w:t>如果外侧和中间座椅无安全带上固定点，下固定点应进行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_Ref276824335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5.4.3　</w:t>
      </w:r>
      <w:r>
        <w:rPr>
          <w:rFonts w:ascii="Times New Roman" w:eastAsia="宋体"/>
          <w:kern w:val="2"/>
          <w:szCs w:val="24"/>
        </w:rPr>
        <w:fldChar w:fldCharType="end"/>
      </w:r>
      <w:r>
        <w:rPr>
          <w:rFonts w:hint="eastAsia" w:ascii="Times New Roman" w:eastAsia="宋体"/>
          <w:kern w:val="2"/>
          <w:szCs w:val="24"/>
        </w:rPr>
        <w:t>规定的试验，利用模拟腰带将载荷传递至固定点。</w:t>
      </w:r>
    </w:p>
    <w:p>
      <w:pPr>
        <w:pStyle w:val="68"/>
        <w:spacing w:before="0" w:beforeLines="0" w:after="0" w:afterLines="0"/>
        <w:rPr>
          <w:rFonts w:ascii="Times New Roman" w:eastAsia="宋体"/>
          <w:kern w:val="2"/>
          <w:szCs w:val="24"/>
        </w:rPr>
      </w:pPr>
      <w:r>
        <w:rPr>
          <w:rFonts w:hint="eastAsia" w:ascii="Times New Roman" w:eastAsia="宋体"/>
          <w:kern w:val="2"/>
          <w:szCs w:val="24"/>
        </w:rPr>
        <w:t>如果车辆设计成可安装其它装置，而这些装置使织带应通过导向件才能与固定点连接时，或与</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_Ref276824384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4.2　</w:t>
      </w:r>
      <w:r>
        <w:rPr>
          <w:rFonts w:ascii="Times New Roman" w:eastAsia="宋体"/>
          <w:kern w:val="2"/>
          <w:szCs w:val="24"/>
        </w:rPr>
        <w:fldChar w:fldCharType="end"/>
      </w:r>
      <w:r>
        <w:rPr>
          <w:rFonts w:hint="eastAsia" w:ascii="Times New Roman" w:eastAsia="宋体"/>
          <w:kern w:val="2"/>
          <w:szCs w:val="24"/>
        </w:rPr>
        <w:t>规定的范围之外的固定点连接时，则应利用这种装置将安全带或模拟带连接于车辆的安全带固定点上，此时，安全带固定点应进行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_Ref276824393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　</w:t>
      </w:r>
      <w:r>
        <w:rPr>
          <w:rFonts w:ascii="Times New Roman" w:eastAsia="宋体"/>
          <w:kern w:val="2"/>
          <w:szCs w:val="24"/>
        </w:rPr>
        <w:fldChar w:fldCharType="end"/>
      </w:r>
      <w:r>
        <w:rPr>
          <w:rFonts w:hint="eastAsia" w:ascii="Times New Roman" w:eastAsia="宋体"/>
          <w:kern w:val="2"/>
          <w:szCs w:val="24"/>
        </w:rPr>
        <w:t>规定的相应的试验。</w:t>
      </w:r>
    </w:p>
    <w:p>
      <w:pPr>
        <w:pStyle w:val="68"/>
        <w:spacing w:before="0" w:beforeLines="0" w:after="0" w:afterLines="0"/>
        <w:rPr>
          <w:rFonts w:ascii="Times New Roman" w:eastAsia="宋体"/>
          <w:kern w:val="2"/>
          <w:szCs w:val="24"/>
        </w:rPr>
      </w:pPr>
      <w:r>
        <w:rPr>
          <w:rFonts w:hint="eastAsia" w:ascii="Times New Roman" w:eastAsia="宋体"/>
          <w:kern w:val="2"/>
          <w:szCs w:val="24"/>
        </w:rPr>
        <w:t>允许采用可证明与上述试验等效的试验方法。</w:t>
      </w:r>
    </w:p>
    <w:p>
      <w:pPr>
        <w:pStyle w:val="108"/>
        <w:spacing w:before="156" w:after="156"/>
        <w:ind w:left="0"/>
      </w:pPr>
      <w:bookmarkStart w:id="301" w:name="_Ref327900734"/>
      <w:bookmarkStart w:id="302" w:name="_Toc78142673"/>
      <w:bookmarkStart w:id="303" w:name="_Toc279473139"/>
      <w:bookmarkStart w:id="304" w:name="_Toc282199392"/>
      <w:bookmarkStart w:id="305" w:name="_Toc307323635"/>
      <w:bookmarkStart w:id="306" w:name="_Toc282778240"/>
      <w:bookmarkStart w:id="307" w:name="_Toc327803381"/>
      <w:bookmarkStart w:id="308" w:name="_Toc327802989"/>
      <w:bookmarkStart w:id="309" w:name="_Toc337675083"/>
      <w:bookmarkStart w:id="310" w:name="_Toc327803273"/>
      <w:bookmarkStart w:id="311" w:name="_Toc327905596"/>
      <w:bookmarkStart w:id="312" w:name="_Toc276822187"/>
      <w:bookmarkStart w:id="313" w:name="_Ref276824147"/>
      <w:bookmarkStart w:id="314" w:name="_Ref276824280"/>
      <w:bookmarkStart w:id="315" w:name="_Ref276824393"/>
      <w:bookmarkStart w:id="316" w:name="_Ref276825510"/>
      <w:bookmarkStart w:id="317" w:name="_Toc277061665"/>
      <w:bookmarkStart w:id="318" w:name="_Toc277059204"/>
      <w:bookmarkStart w:id="319" w:name="_Toc276987357"/>
      <w:r>
        <w:rPr>
          <w:rFonts w:hint="eastAsia"/>
        </w:rPr>
        <w:t>安全带固定点试验方法</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68"/>
        <w:spacing w:before="156" w:after="156"/>
      </w:pPr>
      <w:bookmarkStart w:id="320" w:name="_Toc277059205"/>
      <w:bookmarkStart w:id="321" w:name="_Toc327803274"/>
      <w:bookmarkStart w:id="322" w:name="_Toc327803382"/>
      <w:bookmarkStart w:id="323" w:name="_Toc277061666"/>
      <w:bookmarkStart w:id="324" w:name="_Ref276824321"/>
      <w:bookmarkStart w:id="325" w:name="_Toc279473140"/>
      <w:bookmarkStart w:id="326" w:name="_Toc282778241"/>
      <w:bookmarkStart w:id="327" w:name="_Toc307323636"/>
      <w:bookmarkStart w:id="328" w:name="_Toc282199393"/>
      <w:bookmarkStart w:id="329" w:name="_Toc327802990"/>
      <w:bookmarkStart w:id="330" w:name="_Toc327905597"/>
      <w:bookmarkStart w:id="331" w:name="_Toc337675084"/>
      <w:r>
        <w:rPr>
          <w:rFonts w:hint="eastAsia"/>
        </w:rPr>
        <w:t>上固定点装有导向件或织带导向环带卷收器的三点式安全带</w:t>
      </w:r>
      <w:bookmarkEnd w:id="320"/>
      <w:bookmarkEnd w:id="321"/>
      <w:bookmarkEnd w:id="322"/>
      <w:bookmarkEnd w:id="323"/>
      <w:bookmarkEnd w:id="324"/>
      <w:bookmarkEnd w:id="325"/>
      <w:bookmarkEnd w:id="326"/>
      <w:bookmarkEnd w:id="327"/>
      <w:bookmarkEnd w:id="328"/>
      <w:bookmarkEnd w:id="329"/>
      <w:r>
        <w:rPr>
          <w:rFonts w:hint="eastAsia"/>
        </w:rPr>
        <w:t>固定点的试验</w:t>
      </w:r>
      <w:bookmarkEnd w:id="330"/>
      <w:bookmarkEnd w:id="331"/>
    </w:p>
    <w:p>
      <w:pPr>
        <w:pStyle w:val="97"/>
        <w:spacing w:before="0" w:beforeLines="0" w:after="0" w:afterLines="0"/>
        <w:rPr>
          <w:rFonts w:ascii="Times New Roman" w:eastAsia="宋体"/>
          <w:kern w:val="2"/>
          <w:szCs w:val="24"/>
        </w:rPr>
      </w:pPr>
      <w:r>
        <w:rPr>
          <w:rFonts w:hint="eastAsia" w:ascii="Times New Roman" w:eastAsia="宋体"/>
          <w:kern w:val="2"/>
          <w:szCs w:val="24"/>
        </w:rPr>
        <w:t>在安全带上固定点应装有适于用绳索或织带传递人体模块试验载荷的特殊导向件或导向环，或由制造商提供导向件或织带导向环。</w:t>
      </w:r>
    </w:p>
    <w:p>
      <w:pPr>
        <w:pStyle w:val="97"/>
        <w:spacing w:before="0" w:beforeLines="0" w:after="0" w:afterLines="0"/>
        <w:rPr>
          <w:rFonts w:ascii="Times New Roman" w:eastAsia="宋体"/>
          <w:kern w:val="2"/>
          <w:szCs w:val="24"/>
        </w:rPr>
      </w:pPr>
      <w:r>
        <w:rPr>
          <w:rFonts w:hint="eastAsia" w:ascii="Times New Roman" w:eastAsia="宋体"/>
          <w:kern w:val="2"/>
          <w:szCs w:val="24"/>
        </w:rPr>
        <w:t>利用模拟肩带对上人体模块（见图</w:t>
      </w:r>
      <w:r>
        <w:rPr>
          <w:rFonts w:ascii="Times New Roman" w:eastAsia="宋体"/>
          <w:kern w:val="2"/>
          <w:szCs w:val="24"/>
        </w:rPr>
        <w:t>D.2</w:t>
      </w:r>
      <w:r>
        <w:rPr>
          <w:rFonts w:hint="eastAsia" w:ascii="Times New Roman" w:eastAsia="宋体"/>
          <w:kern w:val="2"/>
          <w:szCs w:val="24"/>
        </w:rPr>
        <w:t>）施加13 500 N±200 N的试验载荷。对M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类的车辆，试验载荷应为6 750 N±200 N；对于M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车辆，试验载荷为4 500 N±200 N。</w:t>
      </w:r>
    </w:p>
    <w:p>
      <w:pPr>
        <w:pStyle w:val="97"/>
        <w:spacing w:before="0" w:beforeLines="0" w:after="0" w:afterLines="0"/>
        <w:rPr>
          <w:rFonts w:ascii="Times New Roman" w:eastAsia="宋体"/>
          <w:kern w:val="2"/>
          <w:szCs w:val="24"/>
        </w:rPr>
      </w:pPr>
      <w:r>
        <w:rPr>
          <w:rFonts w:hint="eastAsia" w:ascii="Times New Roman" w:eastAsia="宋体"/>
          <w:kern w:val="2"/>
          <w:szCs w:val="24"/>
        </w:rPr>
        <w:t>与此同时，应对下人体模块（见图</w:t>
      </w:r>
      <w:r>
        <w:rPr>
          <w:rFonts w:ascii="Times New Roman" w:eastAsia="宋体"/>
          <w:kern w:val="2"/>
          <w:szCs w:val="24"/>
        </w:rPr>
        <w:t>D.1</w:t>
      </w:r>
      <w:r>
        <w:rPr>
          <w:rFonts w:hint="eastAsia" w:ascii="Times New Roman" w:eastAsia="宋体"/>
          <w:kern w:val="2"/>
          <w:szCs w:val="24"/>
        </w:rPr>
        <w:t>）施加13 500 N±200 N的试验载荷。对M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类的车辆，试验载荷应为6 750 N±200 N；对于M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车辆，试验载荷为4 500 N±200 N。</w:t>
      </w:r>
    </w:p>
    <w:p>
      <w:pPr>
        <w:pStyle w:val="68"/>
        <w:spacing w:before="156" w:after="156"/>
      </w:pPr>
      <w:bookmarkStart w:id="332" w:name="_Toc327803383"/>
      <w:bookmarkStart w:id="333" w:name="_Toc307323637"/>
      <w:bookmarkStart w:id="334" w:name="_Toc277061667"/>
      <w:bookmarkStart w:id="335" w:name="_Toc327802991"/>
      <w:bookmarkStart w:id="336" w:name="_Ref276824357"/>
      <w:bookmarkStart w:id="337" w:name="_Toc327803275"/>
      <w:bookmarkStart w:id="338" w:name="_Toc279473141"/>
      <w:bookmarkStart w:id="339" w:name="_Toc277059206"/>
      <w:bookmarkStart w:id="340" w:name="_Toc282199394"/>
      <w:bookmarkStart w:id="341" w:name="_Toc282778242"/>
      <w:bookmarkStart w:id="342" w:name="_Toc327905598"/>
      <w:bookmarkStart w:id="343" w:name="_Toc337675085"/>
      <w:r>
        <w:rPr>
          <w:rFonts w:hint="eastAsia"/>
        </w:rPr>
        <w:t>上固定点无卷收器或带有卷收器的三点式安全带</w:t>
      </w:r>
      <w:bookmarkEnd w:id="332"/>
      <w:bookmarkEnd w:id="333"/>
      <w:bookmarkEnd w:id="334"/>
      <w:bookmarkEnd w:id="335"/>
      <w:bookmarkEnd w:id="336"/>
      <w:bookmarkEnd w:id="337"/>
      <w:bookmarkEnd w:id="338"/>
      <w:bookmarkEnd w:id="339"/>
      <w:bookmarkEnd w:id="340"/>
      <w:bookmarkEnd w:id="341"/>
      <w:r>
        <w:rPr>
          <w:rFonts w:hint="eastAsia"/>
        </w:rPr>
        <w:t>固定点的试验</w:t>
      </w:r>
      <w:bookmarkEnd w:id="342"/>
      <w:bookmarkEnd w:id="343"/>
    </w:p>
    <w:p>
      <w:pPr>
        <w:pStyle w:val="97"/>
        <w:spacing w:before="156" w:after="156"/>
        <w:rPr>
          <w:rFonts w:ascii="Times New Roman" w:eastAsia="宋体"/>
          <w:kern w:val="2"/>
          <w:szCs w:val="24"/>
        </w:rPr>
      </w:pPr>
      <w:r>
        <w:rPr>
          <w:rFonts w:hint="eastAsia" w:ascii="Times New Roman" w:eastAsia="宋体"/>
          <w:kern w:val="2"/>
          <w:szCs w:val="24"/>
        </w:rPr>
        <w:t>应对连接安全带上固定点及相应的下固定点的上人体模块（见图</w:t>
      </w:r>
      <w:r>
        <w:rPr>
          <w:rFonts w:ascii="Times New Roman" w:eastAsia="宋体"/>
          <w:kern w:val="2"/>
          <w:szCs w:val="24"/>
        </w:rPr>
        <w:t>D.2</w:t>
      </w:r>
      <w:r>
        <w:rPr>
          <w:rFonts w:hint="eastAsia" w:ascii="Times New Roman" w:eastAsia="宋体"/>
          <w:kern w:val="2"/>
          <w:szCs w:val="24"/>
        </w:rPr>
        <w:t>）施加13 500 N±200 N的试验载荷。如果上固定点带有卷收器，应连同卷收器一起试验。对M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类的车辆，试验载荷应为6 750 N</w:t>
      </w:r>
      <w:r>
        <w:rPr>
          <w:rFonts w:hint="eastAsia" w:ascii="Times New Roman" w:eastAsia="宋体"/>
          <w:kern w:val="2"/>
          <w:szCs w:val="24"/>
        </w:rPr>
        <w:sym w:font="Symbol" w:char="F0B1"/>
      </w:r>
      <w:r>
        <w:rPr>
          <w:rFonts w:hint="eastAsia" w:ascii="Times New Roman" w:eastAsia="宋体"/>
          <w:kern w:val="2"/>
          <w:szCs w:val="24"/>
        </w:rPr>
        <w:t>200 N;对于M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车辆，试验载荷为4 500 N</w:t>
      </w:r>
      <w:r>
        <w:rPr>
          <w:rFonts w:hint="eastAsia" w:ascii="Times New Roman" w:eastAsia="宋体"/>
          <w:kern w:val="2"/>
          <w:szCs w:val="24"/>
        </w:rPr>
        <w:sym w:font="Symbol" w:char="F0B1"/>
      </w:r>
      <w:r>
        <w:rPr>
          <w:rFonts w:hint="eastAsia" w:ascii="Times New Roman" w:eastAsia="宋体"/>
          <w:kern w:val="2"/>
          <w:szCs w:val="24"/>
        </w:rPr>
        <w:t>200 N。</w:t>
      </w:r>
    </w:p>
    <w:p>
      <w:pPr>
        <w:pStyle w:val="97"/>
        <w:spacing w:before="156" w:after="156"/>
        <w:rPr>
          <w:rFonts w:ascii="Times New Roman" w:eastAsia="宋体"/>
          <w:kern w:val="2"/>
          <w:szCs w:val="24"/>
        </w:rPr>
      </w:pPr>
      <w:r>
        <w:rPr>
          <w:rFonts w:hint="eastAsia" w:ascii="Times New Roman" w:eastAsia="宋体"/>
          <w:kern w:val="2"/>
          <w:szCs w:val="24"/>
        </w:rPr>
        <w:t>与此同时，应对下人体模块（见图</w:t>
      </w:r>
      <w:r>
        <w:rPr>
          <w:rFonts w:ascii="Times New Roman" w:eastAsia="宋体"/>
          <w:kern w:val="2"/>
          <w:szCs w:val="24"/>
        </w:rPr>
        <w:t>D.1</w:t>
      </w:r>
      <w:r>
        <w:rPr>
          <w:rFonts w:hint="eastAsia" w:ascii="Times New Roman" w:eastAsia="宋体"/>
          <w:kern w:val="2"/>
          <w:szCs w:val="24"/>
        </w:rPr>
        <w:t>）施加13 500 N±200 N的试验载荷。对M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类的车辆，试验载荷应为6 750 N±200 N；对于M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车辆，试验载荷为4 500 N±200 N。</w:t>
      </w:r>
    </w:p>
    <w:p>
      <w:pPr>
        <w:pStyle w:val="68"/>
        <w:spacing w:before="156" w:after="156"/>
      </w:pPr>
      <w:bookmarkStart w:id="344" w:name="_Toc277061668"/>
      <w:bookmarkStart w:id="345" w:name="_Toc277059207"/>
      <w:bookmarkStart w:id="346" w:name="_Ref276824335"/>
      <w:bookmarkStart w:id="347" w:name="_Toc282778243"/>
      <w:bookmarkStart w:id="348" w:name="_Toc307323638"/>
      <w:bookmarkStart w:id="349" w:name="_Toc327802992"/>
      <w:bookmarkStart w:id="350" w:name="_Toc327803276"/>
      <w:bookmarkStart w:id="351" w:name="_Toc282199395"/>
      <w:bookmarkStart w:id="352" w:name="_Toc327803384"/>
      <w:bookmarkStart w:id="353" w:name="_Toc327905599"/>
      <w:bookmarkStart w:id="354" w:name="_Toc279473142"/>
      <w:bookmarkStart w:id="355" w:name="_Toc337675086"/>
      <w:r>
        <w:rPr>
          <w:rFonts w:hint="eastAsia"/>
        </w:rPr>
        <w:t>两点式安全带（腰带）固定点的试验</w:t>
      </w:r>
      <w:bookmarkEnd w:id="344"/>
      <w:bookmarkEnd w:id="345"/>
      <w:bookmarkEnd w:id="346"/>
      <w:bookmarkEnd w:id="347"/>
      <w:bookmarkEnd w:id="348"/>
      <w:bookmarkEnd w:id="349"/>
      <w:bookmarkEnd w:id="350"/>
      <w:bookmarkEnd w:id="351"/>
      <w:bookmarkEnd w:id="352"/>
      <w:bookmarkEnd w:id="353"/>
      <w:bookmarkEnd w:id="354"/>
      <w:bookmarkEnd w:id="355"/>
    </w:p>
    <w:p>
      <w:pPr>
        <w:pStyle w:val="59"/>
        <w:ind w:firstLine="420"/>
      </w:pPr>
      <w:r>
        <w:rPr>
          <w:rFonts w:hint="eastAsia"/>
        </w:rPr>
        <w:t>应对连接腰带的下人体模块（见</w:t>
      </w:r>
      <w:r>
        <w:rPr>
          <w:rFonts w:hint="eastAsia" w:ascii="Times New Roman"/>
          <w:kern w:val="2"/>
          <w:szCs w:val="24"/>
        </w:rPr>
        <w:t>图</w:t>
      </w:r>
      <w:r>
        <w:rPr>
          <w:rFonts w:ascii="Times New Roman"/>
          <w:kern w:val="2"/>
          <w:szCs w:val="24"/>
        </w:rPr>
        <w:t>D.1</w:t>
      </w:r>
      <w:r>
        <w:rPr>
          <w:rFonts w:hint="eastAsia"/>
        </w:rPr>
        <w:t>）施加22 250 N±200 N的试验载荷。对M</w:t>
      </w:r>
      <w:r>
        <w:rPr>
          <w:rFonts w:hint="eastAsia"/>
          <w:vertAlign w:val="subscript"/>
        </w:rPr>
        <w:t>2</w:t>
      </w:r>
      <w:r>
        <w:rPr>
          <w:rFonts w:hint="eastAsia"/>
        </w:rPr>
        <w:t>和N</w:t>
      </w:r>
      <w:r>
        <w:rPr>
          <w:rFonts w:hint="eastAsia"/>
          <w:vertAlign w:val="subscript"/>
        </w:rPr>
        <w:t>2</w:t>
      </w:r>
      <w:r>
        <w:rPr>
          <w:rFonts w:hint="eastAsia"/>
        </w:rPr>
        <w:t>类的车辆，试验载荷应为11 100 N±200 N；对于M</w:t>
      </w:r>
      <w:r>
        <w:rPr>
          <w:rFonts w:hint="eastAsia"/>
          <w:vertAlign w:val="subscript"/>
        </w:rPr>
        <w:t>3</w:t>
      </w:r>
      <w:r>
        <w:rPr>
          <w:rFonts w:hint="eastAsia"/>
        </w:rPr>
        <w:t>和N</w:t>
      </w:r>
      <w:r>
        <w:rPr>
          <w:rFonts w:hint="eastAsia"/>
          <w:vertAlign w:val="subscript"/>
        </w:rPr>
        <w:t>3</w:t>
      </w:r>
      <w:r>
        <w:rPr>
          <w:rFonts w:hint="eastAsia"/>
        </w:rPr>
        <w:t>车辆，试验载荷为7 400 N±200 N。</w:t>
      </w:r>
    </w:p>
    <w:p>
      <w:pPr>
        <w:pStyle w:val="68"/>
        <w:spacing w:before="156" w:after="156"/>
      </w:pPr>
      <w:bookmarkStart w:id="356" w:name="_Toc282199396"/>
      <w:bookmarkStart w:id="357" w:name="_Toc282778244"/>
      <w:bookmarkStart w:id="358" w:name="_Toc277059208"/>
      <w:bookmarkStart w:id="359" w:name="_Toc307323639"/>
      <w:bookmarkStart w:id="360" w:name="_Toc327802993"/>
      <w:bookmarkStart w:id="361" w:name="_Toc327803385"/>
      <w:bookmarkStart w:id="362" w:name="_Toc277061669"/>
      <w:bookmarkStart w:id="363" w:name="_Toc279473143"/>
      <w:bookmarkStart w:id="364" w:name="_Toc327803277"/>
      <w:bookmarkStart w:id="365" w:name="_Toc337675087"/>
      <w:bookmarkStart w:id="366" w:name="_Toc327905600"/>
      <w:r>
        <w:rPr>
          <w:rFonts w:hint="eastAsia"/>
        </w:rPr>
        <w:t>设于座椅骨架上或分设于座椅骨架和车身框架上的安全带固定点</w:t>
      </w:r>
      <w:bookmarkEnd w:id="356"/>
      <w:bookmarkEnd w:id="357"/>
      <w:bookmarkEnd w:id="358"/>
      <w:bookmarkEnd w:id="359"/>
      <w:bookmarkEnd w:id="360"/>
      <w:bookmarkEnd w:id="361"/>
      <w:bookmarkEnd w:id="362"/>
      <w:bookmarkEnd w:id="363"/>
      <w:bookmarkEnd w:id="364"/>
      <w:r>
        <w:rPr>
          <w:rFonts w:hint="eastAsia"/>
        </w:rPr>
        <w:t>的试验</w:t>
      </w:r>
      <w:bookmarkEnd w:id="365"/>
      <w:bookmarkEnd w:id="366"/>
    </w:p>
    <w:p>
      <w:pPr>
        <w:pStyle w:val="97"/>
        <w:spacing w:before="0" w:beforeLines="0" w:after="0" w:afterLines="0"/>
      </w:pPr>
      <w:r>
        <w:rPr>
          <w:rFonts w:hint="eastAsia" w:ascii="Times New Roman" w:eastAsia="宋体"/>
          <w:kern w:val="2"/>
          <w:szCs w:val="24"/>
        </w:rPr>
        <w:t>在进行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_Ref276824321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5.4.1　</w:t>
      </w:r>
      <w:r>
        <w:rPr>
          <w:rFonts w:ascii="Times New Roman" w:eastAsia="宋体"/>
          <w:kern w:val="2"/>
          <w:szCs w:val="24"/>
        </w:rPr>
        <w:fldChar w:fldCharType="end"/>
      </w:r>
      <w:r>
        <w:rPr>
          <w:rFonts w:hint="eastAsia" w:ascii="Times New Roman" w:eastAsia="宋体"/>
          <w:kern w:val="2"/>
          <w:szCs w:val="24"/>
        </w:rPr>
        <w:t>、</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_Ref276824357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5.4.2　</w:t>
      </w:r>
      <w:r>
        <w:rPr>
          <w:rFonts w:ascii="Times New Roman" w:eastAsia="宋体"/>
          <w:kern w:val="2"/>
          <w:szCs w:val="24"/>
        </w:rPr>
        <w:fldChar w:fldCharType="end"/>
      </w:r>
      <w:r>
        <w:rPr>
          <w:rFonts w:hint="eastAsia" w:ascii="Times New Roman" w:eastAsia="宋体"/>
          <w:kern w:val="2"/>
          <w:szCs w:val="24"/>
        </w:rPr>
        <w:t>及</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_Ref276824335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5.4.3　</w:t>
      </w:r>
      <w:r>
        <w:rPr>
          <w:rFonts w:ascii="Times New Roman" w:eastAsia="宋体"/>
          <w:kern w:val="2"/>
          <w:szCs w:val="24"/>
        </w:rPr>
        <w:fldChar w:fldCharType="end"/>
      </w:r>
      <w:r>
        <w:rPr>
          <w:rFonts w:hint="eastAsia" w:ascii="Times New Roman" w:eastAsia="宋体"/>
          <w:kern w:val="2"/>
          <w:szCs w:val="24"/>
        </w:rPr>
        <w:t>规定试验的同时，应对每一个或每一组座椅施加下面规定的载荷。</w:t>
      </w:r>
    </w:p>
    <w:p>
      <w:pPr>
        <w:pStyle w:val="97"/>
        <w:spacing w:before="0" w:beforeLines="0" w:after="0" w:afterLines="0"/>
      </w:pPr>
      <w:r>
        <w:rPr>
          <w:rFonts w:hint="eastAsia" w:ascii="Times New Roman" w:eastAsia="宋体"/>
          <w:kern w:val="2"/>
          <w:szCs w:val="24"/>
        </w:rPr>
        <w:t>除</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_Ref276824321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5.4.1　</w:t>
      </w:r>
      <w:r>
        <w:rPr>
          <w:rFonts w:ascii="Times New Roman" w:eastAsia="宋体"/>
          <w:kern w:val="2"/>
          <w:szCs w:val="24"/>
        </w:rPr>
        <w:fldChar w:fldCharType="end"/>
      </w:r>
      <w:r>
        <w:rPr>
          <w:rFonts w:hint="eastAsia" w:ascii="Times New Roman" w:eastAsia="宋体"/>
          <w:kern w:val="2"/>
          <w:szCs w:val="24"/>
        </w:rPr>
        <w:t>、</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_Ref276824357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5.4.2　</w:t>
      </w:r>
      <w:r>
        <w:rPr>
          <w:rFonts w:ascii="Times New Roman" w:eastAsia="宋体"/>
          <w:kern w:val="2"/>
          <w:szCs w:val="24"/>
        </w:rPr>
        <w:fldChar w:fldCharType="end"/>
      </w:r>
      <w:r>
        <w:rPr>
          <w:rFonts w:hint="eastAsia" w:ascii="Times New Roman" w:eastAsia="宋体"/>
          <w:kern w:val="2"/>
          <w:szCs w:val="24"/>
        </w:rPr>
        <w:t>及</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_Ref276824335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5.4.3　</w:t>
      </w:r>
      <w:r>
        <w:rPr>
          <w:rFonts w:ascii="Times New Roman" w:eastAsia="宋体"/>
          <w:kern w:val="2"/>
          <w:szCs w:val="24"/>
        </w:rPr>
        <w:fldChar w:fldCharType="end"/>
      </w:r>
      <w:r>
        <w:rPr>
          <w:rFonts w:hint="eastAsia" w:ascii="Times New Roman" w:eastAsia="宋体"/>
          <w:kern w:val="2"/>
          <w:szCs w:val="24"/>
        </w:rPr>
        <w:t>规定的载荷外，还应施加一个相当于座椅总成质量20倍的力。惯性载荷应施加在座椅上或与相应的座椅的实际质量相当的座椅相关部件上。追加的载荷及载荷的分布应由制造商确定且经检验机构认可。对M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类车辆，载荷为座椅总成质量的10倍；对M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类车辆，应为座椅总成质量的6.6倍。</w:t>
      </w:r>
    </w:p>
    <w:p>
      <w:pPr>
        <w:pStyle w:val="68"/>
        <w:spacing w:before="156" w:after="156"/>
      </w:pPr>
      <w:bookmarkStart w:id="367" w:name="_Toc277061670"/>
      <w:bookmarkStart w:id="368" w:name="_Toc279473144"/>
      <w:bookmarkStart w:id="369" w:name="_Toc282778245"/>
      <w:bookmarkStart w:id="370" w:name="_Toc307323640"/>
      <w:bookmarkStart w:id="371" w:name="_Toc282199397"/>
      <w:bookmarkStart w:id="372" w:name="_Toc327802994"/>
      <w:bookmarkStart w:id="373" w:name="_Ref276824327"/>
      <w:bookmarkStart w:id="374" w:name="_Toc277059209"/>
      <w:bookmarkStart w:id="375" w:name="_Toc337675088"/>
      <w:bookmarkStart w:id="376" w:name="_Toc327905601"/>
      <w:bookmarkStart w:id="377" w:name="_Toc327803278"/>
      <w:bookmarkStart w:id="378" w:name="_Toc327803386"/>
      <w:r>
        <w:rPr>
          <w:rFonts w:hint="eastAsia"/>
        </w:rPr>
        <w:t>特殊类安全带固定点的试验</w:t>
      </w:r>
      <w:bookmarkEnd w:id="367"/>
      <w:bookmarkEnd w:id="368"/>
      <w:bookmarkEnd w:id="369"/>
      <w:bookmarkEnd w:id="370"/>
      <w:bookmarkEnd w:id="371"/>
      <w:bookmarkEnd w:id="372"/>
      <w:bookmarkEnd w:id="373"/>
      <w:bookmarkEnd w:id="374"/>
      <w:bookmarkEnd w:id="375"/>
      <w:bookmarkEnd w:id="376"/>
      <w:bookmarkEnd w:id="377"/>
      <w:bookmarkEnd w:id="378"/>
    </w:p>
    <w:p>
      <w:pPr>
        <w:pStyle w:val="97"/>
        <w:spacing w:before="0" w:beforeLines="0" w:after="0" w:afterLines="0"/>
      </w:pPr>
      <w:r>
        <w:rPr>
          <w:rFonts w:hint="eastAsia" w:ascii="Times New Roman" w:eastAsia="宋体"/>
          <w:kern w:val="2"/>
          <w:szCs w:val="24"/>
        </w:rPr>
        <w:t>利用模拟肩带的装置，对连接到固定点上的上人体模块（见图</w:t>
      </w:r>
      <w:r>
        <w:rPr>
          <w:rFonts w:ascii="Times New Roman" w:eastAsia="宋体"/>
          <w:kern w:val="2"/>
          <w:szCs w:val="24"/>
        </w:rPr>
        <w:t>D.2</w:t>
      </w:r>
      <w:r>
        <w:rPr>
          <w:rFonts w:hint="eastAsia" w:ascii="Times New Roman" w:eastAsia="宋体"/>
          <w:kern w:val="2"/>
          <w:szCs w:val="24"/>
        </w:rPr>
        <w:t>）施加13 500 N±200N的试验载荷。</w:t>
      </w:r>
    </w:p>
    <w:p>
      <w:pPr>
        <w:pStyle w:val="97"/>
        <w:spacing w:before="0" w:beforeLines="0" w:after="0" w:afterLines="0"/>
      </w:pPr>
      <w:r>
        <w:rPr>
          <w:rFonts w:hint="eastAsia" w:ascii="Times New Roman" w:eastAsia="宋体"/>
          <w:kern w:val="2"/>
          <w:szCs w:val="24"/>
        </w:rPr>
        <w:t>与此同时，对连接下固定点上的下人体模块（见图</w:t>
      </w:r>
      <w:r>
        <w:rPr>
          <w:rFonts w:ascii="Times New Roman" w:eastAsia="宋体"/>
          <w:kern w:val="2"/>
          <w:szCs w:val="24"/>
        </w:rPr>
        <w:t>D.1</w:t>
      </w:r>
      <w:r>
        <w:rPr>
          <w:rFonts w:hint="eastAsia" w:ascii="Times New Roman" w:eastAsia="宋体"/>
          <w:kern w:val="2"/>
          <w:szCs w:val="24"/>
        </w:rPr>
        <w:t>）施加13 500 N±200 N的试验载荷。</w:t>
      </w:r>
    </w:p>
    <w:p>
      <w:pPr>
        <w:pStyle w:val="97"/>
        <w:spacing w:before="0" w:beforeLines="0" w:after="0" w:afterLines="0"/>
      </w:pPr>
      <w:r>
        <w:rPr>
          <w:rFonts w:hint="eastAsia" w:ascii="Times New Roman" w:eastAsia="宋体"/>
          <w:kern w:val="2"/>
          <w:szCs w:val="24"/>
        </w:rPr>
        <w:t>对M</w:t>
      </w:r>
      <w:r>
        <w:rPr>
          <w:rFonts w:hint="eastAsia" w:ascii="Times New Roman" w:eastAsia="宋体"/>
          <w:kern w:val="2"/>
          <w:szCs w:val="24"/>
          <w:vertAlign w:val="subscript"/>
        </w:rPr>
        <w:t>2</w:t>
      </w:r>
      <w:r>
        <w:rPr>
          <w:rFonts w:hint="eastAsia" w:ascii="Times New Roman" w:eastAsia="宋体"/>
          <w:kern w:val="2"/>
          <w:szCs w:val="24"/>
        </w:rPr>
        <w:t>和N</w:t>
      </w:r>
      <w:r>
        <w:rPr>
          <w:rFonts w:hint="eastAsia" w:ascii="Times New Roman" w:eastAsia="宋体"/>
          <w:kern w:val="2"/>
          <w:szCs w:val="24"/>
          <w:vertAlign w:val="subscript"/>
        </w:rPr>
        <w:t>2</w:t>
      </w:r>
      <w:r>
        <w:rPr>
          <w:rFonts w:hint="eastAsia" w:ascii="Times New Roman" w:eastAsia="宋体"/>
          <w:kern w:val="2"/>
          <w:szCs w:val="24"/>
        </w:rPr>
        <w:t>类的车辆，试验载荷应为6 750 N±200 N，对于M</w:t>
      </w:r>
      <w:r>
        <w:rPr>
          <w:rFonts w:hint="eastAsia" w:ascii="Times New Roman" w:eastAsia="宋体"/>
          <w:kern w:val="2"/>
          <w:szCs w:val="24"/>
          <w:vertAlign w:val="subscript"/>
        </w:rPr>
        <w:t>3</w:t>
      </w:r>
      <w:r>
        <w:rPr>
          <w:rFonts w:hint="eastAsia" w:ascii="Times New Roman" w:eastAsia="宋体"/>
          <w:kern w:val="2"/>
          <w:szCs w:val="24"/>
        </w:rPr>
        <w:t>和N</w:t>
      </w:r>
      <w:r>
        <w:rPr>
          <w:rFonts w:hint="eastAsia" w:ascii="Times New Roman" w:eastAsia="宋体"/>
          <w:kern w:val="2"/>
          <w:szCs w:val="24"/>
          <w:vertAlign w:val="subscript"/>
        </w:rPr>
        <w:t>3</w:t>
      </w:r>
      <w:r>
        <w:rPr>
          <w:rFonts w:hint="eastAsia" w:ascii="Times New Roman" w:eastAsia="宋体"/>
          <w:kern w:val="2"/>
          <w:szCs w:val="24"/>
        </w:rPr>
        <w:t>车辆，试验载荷为4 500 N±200</w:t>
      </w:r>
      <w:r>
        <w:rPr>
          <w:rFonts w:ascii="Times New Roman" w:eastAsia="宋体"/>
          <w:kern w:val="2"/>
          <w:szCs w:val="24"/>
        </w:rPr>
        <w:t xml:space="preserve"> </w:t>
      </w:r>
      <w:r>
        <w:rPr>
          <w:rFonts w:hint="eastAsia" w:ascii="Times New Roman" w:eastAsia="宋体"/>
          <w:kern w:val="2"/>
          <w:szCs w:val="24"/>
        </w:rPr>
        <w:t>N。</w:t>
      </w:r>
      <w:r>
        <w:rPr>
          <w:rFonts w:hint="eastAsia"/>
        </w:rPr>
        <w:t>　</w:t>
      </w:r>
    </w:p>
    <w:p>
      <w:pPr>
        <w:pStyle w:val="68"/>
        <w:spacing w:before="156" w:after="156"/>
      </w:pPr>
      <w:bookmarkStart w:id="379" w:name="_Toc337675089"/>
      <w:bookmarkStart w:id="380" w:name="_Toc327905602"/>
      <w:bookmarkStart w:id="381" w:name="_Toc282778246"/>
      <w:bookmarkStart w:id="382" w:name="_Toc327803279"/>
      <w:bookmarkStart w:id="383" w:name="_Toc277059210"/>
      <w:bookmarkStart w:id="384" w:name="_Ref276824607"/>
      <w:bookmarkStart w:id="385" w:name="_Toc277061671"/>
      <w:bookmarkStart w:id="386" w:name="_Toc282199398"/>
      <w:bookmarkStart w:id="387" w:name="_Toc327802995"/>
      <w:bookmarkStart w:id="388" w:name="_Toc279473145"/>
      <w:bookmarkStart w:id="389" w:name="_Toc327803387"/>
      <w:bookmarkStart w:id="390" w:name="_Toc307323641"/>
      <w:r>
        <w:rPr>
          <w:rFonts w:hint="eastAsia"/>
        </w:rPr>
        <w:t>后向座椅的安全带固定点试验</w:t>
      </w:r>
      <w:bookmarkEnd w:id="379"/>
      <w:bookmarkEnd w:id="380"/>
      <w:bookmarkEnd w:id="381"/>
      <w:bookmarkEnd w:id="382"/>
      <w:bookmarkEnd w:id="383"/>
      <w:bookmarkEnd w:id="384"/>
      <w:bookmarkEnd w:id="385"/>
      <w:bookmarkEnd w:id="386"/>
      <w:bookmarkEnd w:id="387"/>
      <w:bookmarkEnd w:id="388"/>
      <w:bookmarkEnd w:id="389"/>
      <w:bookmarkEnd w:id="390"/>
    </w:p>
    <w:p>
      <w:pPr>
        <w:pStyle w:val="97"/>
        <w:spacing w:before="0" w:beforeLines="0" w:after="0" w:afterLines="0"/>
        <w:rPr>
          <w:rFonts w:ascii="Times New Roman" w:eastAsia="宋体"/>
          <w:kern w:val="2"/>
          <w:szCs w:val="24"/>
        </w:rPr>
      </w:pPr>
      <w:r>
        <w:rPr>
          <w:rFonts w:hint="eastAsia" w:ascii="Times New Roman" w:eastAsia="宋体"/>
          <w:kern w:val="2"/>
          <w:szCs w:val="24"/>
        </w:rPr>
        <w:t>应按</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_Ref276824321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5.4.1　</w:t>
      </w:r>
      <w:r>
        <w:rPr>
          <w:rFonts w:ascii="Times New Roman" w:eastAsia="宋体"/>
          <w:kern w:val="2"/>
          <w:szCs w:val="24"/>
        </w:rPr>
        <w:fldChar w:fldCharType="end"/>
      </w:r>
      <w:r>
        <w:rPr>
          <w:rFonts w:hint="eastAsia" w:ascii="Times New Roman" w:eastAsia="宋体"/>
          <w:kern w:val="2"/>
          <w:szCs w:val="24"/>
        </w:rPr>
        <w:t>、</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_Ref276824357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5.4.2　</w:t>
      </w:r>
      <w:r>
        <w:rPr>
          <w:rFonts w:ascii="Times New Roman" w:eastAsia="宋体"/>
          <w:kern w:val="2"/>
          <w:szCs w:val="24"/>
        </w:rPr>
        <w:fldChar w:fldCharType="end"/>
      </w:r>
      <w:r>
        <w:rPr>
          <w:rFonts w:hint="eastAsia" w:ascii="Times New Roman" w:eastAsia="宋体"/>
          <w:kern w:val="2"/>
          <w:szCs w:val="24"/>
        </w:rPr>
        <w:t>或</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_Ref276824335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5.4.3　</w:t>
      </w:r>
      <w:r>
        <w:rPr>
          <w:rFonts w:ascii="Times New Roman" w:eastAsia="宋体"/>
          <w:kern w:val="2"/>
          <w:szCs w:val="24"/>
        </w:rPr>
        <w:fldChar w:fldCharType="end"/>
      </w:r>
      <w:r>
        <w:rPr>
          <w:rFonts w:hint="eastAsia" w:ascii="Times New Roman" w:eastAsia="宋体"/>
          <w:kern w:val="2"/>
          <w:szCs w:val="24"/>
        </w:rPr>
        <w:t>的要求对固定点加载。试验载荷值同M</w:t>
      </w:r>
      <w:r>
        <w:rPr>
          <w:rFonts w:hint="eastAsia" w:ascii="Times New Roman" w:eastAsia="宋体"/>
          <w:kern w:val="2"/>
          <w:szCs w:val="24"/>
          <w:vertAlign w:val="subscript"/>
        </w:rPr>
        <w:t>3</w:t>
      </w:r>
      <w:r>
        <w:rPr>
          <w:rFonts w:hint="eastAsia" w:ascii="Times New Roman" w:eastAsia="宋体"/>
          <w:kern w:val="2"/>
          <w:szCs w:val="24"/>
        </w:rPr>
        <w:t>或N</w:t>
      </w:r>
      <w:r>
        <w:rPr>
          <w:rFonts w:hint="eastAsia" w:ascii="Times New Roman" w:eastAsia="宋体"/>
          <w:kern w:val="2"/>
          <w:szCs w:val="24"/>
          <w:vertAlign w:val="subscript"/>
        </w:rPr>
        <w:t>3</w:t>
      </w:r>
      <w:r>
        <w:rPr>
          <w:rFonts w:hint="eastAsia" w:ascii="Times New Roman" w:eastAsia="宋体"/>
          <w:kern w:val="2"/>
          <w:szCs w:val="24"/>
        </w:rPr>
        <w:t>类车辆的规定值。</w:t>
      </w:r>
    </w:p>
    <w:p>
      <w:pPr>
        <w:pStyle w:val="97"/>
        <w:spacing w:before="0" w:beforeLines="0" w:after="0" w:afterLines="0"/>
        <w:rPr>
          <w:rFonts w:ascii="宋体" w:eastAsia="宋体"/>
        </w:rPr>
      </w:pPr>
      <w:r>
        <w:rPr>
          <w:rFonts w:hint="eastAsia" w:ascii="宋体" w:eastAsia="宋体"/>
        </w:rPr>
        <w:t>加载方向同乘坐位置的朝向，试验条件同</w:t>
      </w:r>
      <w:r>
        <w:rPr>
          <w:rFonts w:ascii="宋体" w:eastAsia="宋体"/>
        </w:rPr>
        <w:fldChar w:fldCharType="begin"/>
      </w:r>
      <w:r>
        <w:rPr>
          <w:rFonts w:ascii="宋体" w:eastAsia="宋体"/>
        </w:rPr>
        <w:instrText xml:space="preserve"> </w:instrText>
      </w:r>
      <w:r>
        <w:rPr>
          <w:rFonts w:hint="eastAsia" w:ascii="宋体" w:eastAsia="宋体"/>
        </w:rPr>
        <w:instrText xml:space="preserve">REF _Ref336445528 \r \h</w:instrText>
      </w:r>
      <w:r>
        <w:rPr>
          <w:rFonts w:ascii="宋体" w:eastAsia="宋体"/>
        </w:rPr>
        <w:instrText xml:space="preserve">  \* MERGEFORMAT </w:instrText>
      </w:r>
      <w:r>
        <w:rPr>
          <w:rFonts w:ascii="宋体" w:eastAsia="宋体"/>
        </w:rPr>
        <w:fldChar w:fldCharType="separate"/>
      </w:r>
      <w:r>
        <w:rPr>
          <w:rFonts w:hint="eastAsia" w:ascii="宋体" w:eastAsia="宋体"/>
        </w:rPr>
        <w:t>5.3　</w:t>
      </w:r>
      <w:r>
        <w:rPr>
          <w:rFonts w:ascii="宋体" w:eastAsia="宋体"/>
        </w:rPr>
        <w:fldChar w:fldCharType="end"/>
      </w:r>
      <w:r>
        <w:rPr>
          <w:rFonts w:hint="eastAsia" w:ascii="宋体" w:eastAsia="宋体"/>
        </w:rPr>
        <w:t>。</w:t>
      </w:r>
    </w:p>
    <w:p>
      <w:pPr>
        <w:pStyle w:val="68"/>
        <w:spacing w:before="156" w:after="156"/>
      </w:pPr>
      <w:r>
        <w:rPr>
          <w:rFonts w:hint="eastAsia"/>
        </w:rPr>
        <w:t>侧向座椅的安全带固定点试验</w:t>
      </w:r>
    </w:p>
    <w:p>
      <w:pPr>
        <w:pStyle w:val="97"/>
        <w:spacing w:before="0" w:beforeLines="0" w:after="0" w:afterLines="0"/>
        <w:rPr>
          <w:rFonts w:ascii="宋体" w:hAnsi="宋体" w:eastAsia="宋体"/>
          <w:lang w:val="en-GB"/>
        </w:rPr>
      </w:pPr>
      <w:r>
        <w:rPr>
          <w:rFonts w:hint="eastAsia" w:ascii="宋体" w:eastAsia="宋体"/>
        </w:rPr>
        <w:t>应</w:t>
      </w:r>
      <w:r>
        <w:rPr>
          <w:rFonts w:hint="eastAsia" w:ascii="宋体" w:hAnsi="宋体" w:eastAsia="宋体"/>
          <w:lang w:val="en-GB"/>
        </w:rPr>
        <w:t>按照5.4.3中规定的M</w:t>
      </w:r>
      <w:r>
        <w:rPr>
          <w:rFonts w:hint="eastAsia" w:ascii="宋体" w:hAnsi="宋体" w:eastAsia="宋体"/>
          <w:vertAlign w:val="subscript"/>
          <w:lang w:val="en-GB"/>
        </w:rPr>
        <w:t>3</w:t>
      </w:r>
      <w:r>
        <w:rPr>
          <w:rFonts w:hint="eastAsia" w:ascii="宋体" w:hAnsi="宋体" w:eastAsia="宋体"/>
          <w:lang w:val="en-GB"/>
        </w:rPr>
        <w:t>类车辆的试验载荷值对固定点进行加载。</w:t>
      </w:r>
    </w:p>
    <w:p>
      <w:pPr>
        <w:pStyle w:val="97"/>
        <w:spacing w:before="0" w:beforeLines="0" w:after="0" w:afterLines="0"/>
        <w:rPr>
          <w:rFonts w:ascii="宋体" w:hAnsi="宋体" w:eastAsia="宋体"/>
          <w:lang w:val="en-GB"/>
        </w:rPr>
      </w:pPr>
      <w:r>
        <w:rPr>
          <w:rFonts w:hint="eastAsia" w:ascii="宋体" w:hAnsi="宋体" w:eastAsia="宋体"/>
          <w:lang w:val="en-GB"/>
        </w:rPr>
        <w:t>加载方向为车辆前向，试验条件同5.3，如果侧向座椅是安装在一个基本框架上的座椅组，座椅组中每个乘坐位置的安全带固定点应单独进行试验。此外，基本框架应按照5.4.8进行试验。</w:t>
      </w:r>
    </w:p>
    <w:p>
      <w:pPr>
        <w:pStyle w:val="97"/>
        <w:spacing w:before="0" w:beforeLines="0" w:after="0" w:afterLines="0"/>
        <w:rPr>
          <w:rFonts w:ascii="宋体" w:hAnsi="宋体" w:eastAsia="宋体"/>
          <w:lang w:val="en-GB"/>
        </w:rPr>
      </w:pPr>
      <w:r>
        <w:rPr>
          <w:rFonts w:hint="eastAsia" w:ascii="宋体" w:hAnsi="宋体" w:eastAsia="宋体"/>
          <w:lang w:val="en-GB"/>
        </w:rPr>
        <w:t>侧向座椅所用的加载模块见</w:t>
      </w:r>
      <w:r>
        <w:rPr>
          <w:rFonts w:ascii="宋体" w:hAnsi="宋体" w:eastAsia="宋体"/>
          <w:lang w:val="en-GB"/>
        </w:rPr>
        <w:fldChar w:fldCharType="begin"/>
      </w:r>
      <w:r>
        <w:rPr>
          <w:rFonts w:ascii="宋体" w:hAnsi="宋体" w:eastAsia="宋体"/>
          <w:lang w:val="en-GB"/>
        </w:rPr>
        <w:instrText xml:space="preserve"> </w:instrText>
      </w:r>
      <w:r>
        <w:rPr>
          <w:rFonts w:hint="eastAsia" w:ascii="宋体" w:hAnsi="宋体" w:eastAsia="宋体"/>
          <w:lang w:val="en-GB"/>
        </w:rPr>
        <w:instrText xml:space="preserve">REF _Ref83304943 \r \h</w:instrText>
      </w:r>
      <w:r>
        <w:rPr>
          <w:rFonts w:ascii="宋体" w:hAnsi="宋体" w:eastAsia="宋体"/>
          <w:lang w:val="en-GB"/>
        </w:rPr>
        <w:instrText xml:space="preserve">  \* MERGEFORMAT </w:instrText>
      </w:r>
      <w:r>
        <w:rPr>
          <w:rFonts w:ascii="宋体" w:hAnsi="宋体" w:eastAsia="宋体"/>
          <w:lang w:val="en-GB"/>
        </w:rPr>
        <w:fldChar w:fldCharType="separate"/>
      </w:r>
      <w:r>
        <w:rPr>
          <w:rFonts w:ascii="宋体" w:hAnsi="宋体" w:eastAsia="宋体"/>
          <w:lang w:val="en-GB"/>
        </w:rPr>
        <w:t>0</w:t>
      </w:r>
      <w:r>
        <w:rPr>
          <w:rFonts w:ascii="宋体" w:hAnsi="宋体" w:eastAsia="宋体"/>
          <w:lang w:val="en-GB"/>
        </w:rPr>
        <w:fldChar w:fldCharType="end"/>
      </w:r>
      <w:r>
        <w:rPr>
          <w:rFonts w:hint="eastAsia" w:ascii="宋体" w:hAnsi="宋体" w:eastAsia="宋体"/>
          <w:lang w:val="en-GB"/>
        </w:rPr>
        <w:t xml:space="preserve"> d）。</w:t>
      </w:r>
    </w:p>
    <w:p>
      <w:pPr>
        <w:pStyle w:val="68"/>
        <w:spacing w:before="156" w:after="156"/>
        <w:rPr>
          <w:lang w:val="en-GB"/>
        </w:rPr>
      </w:pPr>
      <w:r>
        <w:rPr>
          <w:rFonts w:hint="eastAsia"/>
          <w:lang w:val="en-GB"/>
        </w:rPr>
        <w:t>侧向座椅的基本框架试验</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lang w:val="en-GB"/>
        </w:rPr>
        <w:t>一个或一组侧向座椅的基本框架应按照5.4.3中规定的M</w:t>
      </w:r>
      <w:r>
        <w:rPr>
          <w:rFonts w:hint="eastAsia" w:ascii="Times New Roman" w:eastAsia="宋体"/>
          <w:kern w:val="2"/>
          <w:szCs w:val="24"/>
          <w:vertAlign w:val="subscript"/>
          <w:lang w:val="en-GB"/>
        </w:rPr>
        <w:t>3</w:t>
      </w:r>
      <w:r>
        <w:rPr>
          <w:rFonts w:hint="eastAsia" w:ascii="Times New Roman" w:eastAsia="宋体"/>
          <w:kern w:val="2"/>
          <w:szCs w:val="24"/>
          <w:lang w:val="en-GB"/>
        </w:rPr>
        <w:t>类车辆的试验载荷值进行加载。</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lang w:val="en-GB"/>
        </w:rPr>
        <w:t>加载方向为车辆前向，试验条件同5.3，</w:t>
      </w:r>
      <w:r>
        <w:rPr>
          <w:rFonts w:hint="eastAsia" w:ascii="Times New Roman" w:hAnsi="宋体" w:eastAsia="宋体"/>
          <w:kern w:val="2"/>
          <w:szCs w:val="24"/>
          <w:lang w:val="en-GB"/>
        </w:rPr>
        <w:t xml:space="preserve"> 如果侧向座椅是安装在一个基本框架上的座椅组，</w:t>
      </w:r>
      <w:r>
        <w:rPr>
          <w:rFonts w:hint="eastAsia" w:ascii="Times New Roman" w:eastAsia="宋体"/>
          <w:kern w:val="2"/>
          <w:szCs w:val="24"/>
          <w:lang w:val="en-GB"/>
        </w:rPr>
        <w:t>则该组中所有座椅应同时进行试验。</w:t>
      </w:r>
    </w:p>
    <w:p>
      <w:pPr>
        <w:pStyle w:val="97"/>
        <w:spacing w:before="0" w:beforeLines="0" w:after="0" w:afterLines="0"/>
        <w:rPr>
          <w:rFonts w:ascii="Times New Roman" w:eastAsia="宋体"/>
          <w:kern w:val="2"/>
          <w:szCs w:val="24"/>
          <w:lang w:val="en-GB"/>
        </w:rPr>
      </w:pPr>
      <w:r>
        <w:rPr>
          <w:rFonts w:hint="eastAsia" w:ascii="Times New Roman" w:eastAsia="宋体"/>
          <w:kern w:val="2"/>
          <w:szCs w:val="24"/>
          <w:lang w:val="en-GB"/>
        </w:rPr>
        <w:t>5.4.3和5.4.4规定的加载点应尽可能靠近H点并位于通过每个乘坐位置H点的水平面与横向垂直平面的交线上。</w:t>
      </w:r>
    </w:p>
    <w:p>
      <w:pPr>
        <w:pStyle w:val="108"/>
        <w:spacing w:before="156" w:after="156"/>
        <w:ind w:left="0"/>
      </w:pPr>
      <w:bookmarkStart w:id="391" w:name="_Toc282199399"/>
      <w:bookmarkStart w:id="392" w:name="_Toc327905603"/>
      <w:bookmarkStart w:id="393" w:name="_Toc279473146"/>
      <w:bookmarkStart w:id="394" w:name="_Toc282778247"/>
      <w:bookmarkStart w:id="395" w:name="_Toc327802996"/>
      <w:bookmarkStart w:id="396" w:name="_Toc78142674"/>
      <w:bookmarkStart w:id="397" w:name="_Toc307323642"/>
      <w:bookmarkStart w:id="398" w:name="_Toc327803388"/>
      <w:bookmarkStart w:id="399" w:name="_Toc337675090"/>
      <w:bookmarkStart w:id="400" w:name="_Toc327803280"/>
      <w:r>
        <w:rPr>
          <w:rFonts w:hint="eastAsia"/>
        </w:rPr>
        <w:t>动态试验</w:t>
      </w:r>
      <w:bookmarkEnd w:id="391"/>
      <w:bookmarkEnd w:id="392"/>
      <w:bookmarkEnd w:id="393"/>
      <w:bookmarkEnd w:id="394"/>
      <w:bookmarkEnd w:id="395"/>
      <w:bookmarkEnd w:id="396"/>
      <w:bookmarkEnd w:id="397"/>
      <w:bookmarkEnd w:id="398"/>
      <w:bookmarkEnd w:id="399"/>
      <w:bookmarkEnd w:id="400"/>
    </w:p>
    <w:p>
      <w:pPr>
        <w:pStyle w:val="59"/>
        <w:ind w:firstLine="420"/>
      </w:pPr>
      <w:r>
        <w:rPr>
          <w:rFonts w:hint="eastAsia"/>
        </w:rPr>
        <w:t>对</w:t>
      </w:r>
      <w:r>
        <w:fldChar w:fldCharType="begin"/>
      </w:r>
      <w:r>
        <w:instrText xml:space="preserve"> REF _Ref307231581 \r \h  \* MERGEFORMAT </w:instrText>
      </w:r>
      <w:r>
        <w:fldChar w:fldCharType="separate"/>
      </w:r>
      <w:r>
        <w:rPr>
          <w:rFonts w:hint="eastAsia"/>
        </w:rPr>
        <w:t>E.1　</w:t>
      </w:r>
      <w:r>
        <w:fldChar w:fldCharType="end"/>
      </w:r>
      <w:r>
        <w:rPr>
          <w:rFonts w:hint="eastAsia"/>
        </w:rPr>
        <w:t>规定的座椅组，应制造者的要求可进行附录</w:t>
      </w:r>
      <w:r>
        <w:t>E</w:t>
      </w:r>
      <w:r>
        <w:rPr>
          <w:rFonts w:hint="eastAsia"/>
        </w:rPr>
        <w:t>的动态试验。该试验可替代</w:t>
      </w:r>
      <w:r>
        <w:fldChar w:fldCharType="begin"/>
      </w:r>
      <w:r>
        <w:instrText xml:space="preserve"> </w:instrText>
      </w:r>
      <w:r>
        <w:rPr>
          <w:rFonts w:hint="eastAsia"/>
        </w:rPr>
        <w:instrText xml:space="preserve">REF _Ref327900724 \r \h</w:instrText>
      </w:r>
      <w:r>
        <w:instrText xml:space="preserve">  \* MERGEFORMAT </w:instrText>
      </w:r>
      <w:r>
        <w:fldChar w:fldCharType="separate"/>
      </w:r>
      <w:r>
        <w:rPr>
          <w:rFonts w:hint="eastAsia"/>
        </w:rPr>
        <w:t>5.3　</w:t>
      </w:r>
      <w:r>
        <w:fldChar w:fldCharType="end"/>
      </w:r>
      <w:r>
        <w:rPr>
          <w:rFonts w:hint="eastAsia"/>
        </w:rPr>
        <w:t>和</w:t>
      </w:r>
      <w:r>
        <w:fldChar w:fldCharType="begin"/>
      </w:r>
      <w:r>
        <w:instrText xml:space="preserve"> </w:instrText>
      </w:r>
      <w:r>
        <w:rPr>
          <w:rFonts w:hint="eastAsia"/>
        </w:rPr>
        <w:instrText xml:space="preserve">REF _Ref327900734 \r \h</w:instrText>
      </w:r>
      <w:r>
        <w:instrText xml:space="preserve">  \* MERGEFORMAT </w:instrText>
      </w:r>
      <w:r>
        <w:fldChar w:fldCharType="separate"/>
      </w:r>
      <w:r>
        <w:rPr>
          <w:rFonts w:hint="eastAsia"/>
        </w:rPr>
        <w:t>5.4　</w:t>
      </w:r>
      <w:r>
        <w:fldChar w:fldCharType="end"/>
      </w:r>
      <w:r>
        <w:rPr>
          <w:rFonts w:hint="eastAsia"/>
        </w:rPr>
        <w:t>的静态试验。</w:t>
      </w:r>
    </w:p>
    <w:p>
      <w:pPr>
        <w:pStyle w:val="108"/>
        <w:spacing w:before="156" w:after="156"/>
        <w:ind w:left="0"/>
      </w:pPr>
      <w:bookmarkStart w:id="401" w:name="_Toc282778248"/>
      <w:bookmarkStart w:id="402" w:name="_Ref276823104"/>
      <w:bookmarkStart w:id="403" w:name="_Toc277059212"/>
      <w:bookmarkStart w:id="404" w:name="_Toc282199400"/>
      <w:bookmarkStart w:id="405" w:name="_Toc327803281"/>
      <w:bookmarkStart w:id="406" w:name="_Toc327803389"/>
      <w:bookmarkStart w:id="407" w:name="_Toc337675091"/>
      <w:bookmarkStart w:id="408" w:name="_Toc78142675"/>
      <w:bookmarkStart w:id="409" w:name="_Toc327802997"/>
      <w:bookmarkStart w:id="410" w:name="_Toc307323643"/>
      <w:bookmarkStart w:id="411" w:name="_Toc327905604"/>
      <w:bookmarkStart w:id="412" w:name="_Toc276822188"/>
      <w:bookmarkStart w:id="413" w:name="_Toc276987358"/>
      <w:bookmarkStart w:id="414" w:name="_Toc277061673"/>
      <w:bookmarkStart w:id="415" w:name="_Toc279473147"/>
      <w:r>
        <w:rPr>
          <w:rFonts w:hint="eastAsia"/>
        </w:rPr>
        <w:t>ISOFIX静态试验</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68"/>
        <w:spacing w:before="156" w:after="156"/>
      </w:pPr>
      <w:bookmarkStart w:id="416" w:name="_Toc327803390"/>
      <w:bookmarkStart w:id="417" w:name="_Toc282778249"/>
      <w:bookmarkStart w:id="418" w:name="_Toc327905605"/>
      <w:bookmarkStart w:id="419" w:name="_Toc337675092"/>
      <w:bookmarkStart w:id="420" w:name="_Toc277061674"/>
      <w:bookmarkStart w:id="421" w:name="_Toc276987359"/>
      <w:bookmarkStart w:id="422" w:name="_Toc277059213"/>
      <w:bookmarkStart w:id="423" w:name="_Toc282199401"/>
      <w:bookmarkStart w:id="424" w:name="_Toc276822189"/>
      <w:bookmarkStart w:id="425" w:name="_Toc279473148"/>
      <w:bookmarkStart w:id="426" w:name="_Toc307323644"/>
      <w:bookmarkStart w:id="427" w:name="_Toc327802998"/>
      <w:bookmarkStart w:id="428" w:name="_Toc327803282"/>
      <w:r>
        <w:rPr>
          <w:rFonts w:hint="eastAsia"/>
        </w:rPr>
        <w:t>试验条件</w:t>
      </w:r>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97"/>
        <w:spacing w:before="0" w:beforeLines="0" w:after="0" w:afterLines="0"/>
        <w:rPr>
          <w:rFonts w:ascii="Times New Roman" w:eastAsia="宋体"/>
          <w:kern w:val="2"/>
          <w:szCs w:val="24"/>
        </w:rPr>
      </w:pPr>
      <w:r>
        <w:rPr>
          <w:rFonts w:hint="eastAsia" w:ascii="Times New Roman" w:eastAsia="宋体"/>
          <w:kern w:val="2"/>
          <w:szCs w:val="24"/>
        </w:rPr>
        <w:t>应按</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_Ref276824223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5.6.2.2　</w:t>
      </w:r>
      <w:r>
        <w:rPr>
          <w:rFonts w:ascii="Times New Roman" w:eastAsia="宋体"/>
          <w:kern w:val="2"/>
          <w:szCs w:val="24"/>
        </w:rPr>
        <w:fldChar w:fldCharType="end"/>
      </w:r>
      <w:r>
        <w:rPr>
          <w:rFonts w:hint="eastAsia" w:ascii="Times New Roman" w:eastAsia="宋体"/>
          <w:kern w:val="2"/>
          <w:szCs w:val="24"/>
        </w:rPr>
        <w:t>的描述，在ISOFIX处于连接状态时，对静态加载装置（SFAD）施加载荷，对ISOFIX固定点系统强度进行试验。对于ISOFIX上拉带固定点，应按5.6.2.3的描述进行附加试验。对于i-Size乘坐位置，应按照5.6.2.4进行支撑腿附加试验。对同一排座椅上的可同时使用的所有ISOFIX和/或i-Size位置应同时进行试验。</w:t>
      </w:r>
    </w:p>
    <w:p>
      <w:pPr>
        <w:pStyle w:val="97"/>
        <w:spacing w:before="0" w:beforeLines="0" w:after="0" w:afterLines="0"/>
        <w:rPr>
          <w:rFonts w:ascii="Times New Roman" w:eastAsia="宋体"/>
          <w:kern w:val="2"/>
          <w:szCs w:val="24"/>
        </w:rPr>
      </w:pPr>
      <w:r>
        <w:rPr>
          <w:rFonts w:hint="eastAsia" w:ascii="Times New Roman" w:eastAsia="宋体"/>
          <w:kern w:val="2"/>
          <w:szCs w:val="24"/>
        </w:rPr>
        <w:t>试验可在完整车辆上进行，也可在能代表车辆结构强度和刚度的车身结构上进行。车门可有可无、可开可关。允许保留增强车辆结构的正常装备。如满足以下条件，可仅对一个或一组座椅的ISOFIX位置进行试验：</w:t>
      </w:r>
    </w:p>
    <w:p>
      <w:pPr>
        <w:pStyle w:val="177"/>
        <w:numPr>
          <w:ilvl w:val="0"/>
          <w:numId w:val="52"/>
        </w:numPr>
      </w:pPr>
      <w:r>
        <w:rPr>
          <w:rFonts w:hint="eastAsia"/>
        </w:rPr>
        <w:t>试验的ISOFIX或i-Size位置与其他座椅或座椅组的ISOFIX或i-Size位置有相同的结构特性；</w:t>
      </w:r>
    </w:p>
    <w:p>
      <w:pPr>
        <w:pStyle w:val="177"/>
      </w:pPr>
      <w:r>
        <w:rPr>
          <w:rFonts w:hint="eastAsia"/>
        </w:rPr>
        <w:t>试验的ISOFIX或i-Size位置部分或全部安装于座椅或座椅组上，这些座椅或座椅组与其他座椅或座椅组有相同的结构特性。</w:t>
      </w:r>
    </w:p>
    <w:p>
      <w:pPr>
        <w:pStyle w:val="97"/>
        <w:spacing w:before="0" w:beforeLines="0" w:after="0" w:afterLines="0"/>
        <w:rPr>
          <w:rFonts w:ascii="Times New Roman" w:eastAsia="宋体"/>
          <w:kern w:val="2"/>
          <w:szCs w:val="24"/>
        </w:rPr>
      </w:pPr>
      <w:r>
        <w:rPr>
          <w:rFonts w:hint="eastAsia" w:ascii="Times New Roman" w:eastAsia="宋体"/>
          <w:kern w:val="2"/>
          <w:szCs w:val="24"/>
        </w:rPr>
        <w:t>如果座椅和头枕可调，试验位置由制造商提供、检测机构确认。</w:t>
      </w:r>
    </w:p>
    <w:p>
      <w:pPr>
        <w:pStyle w:val="68"/>
        <w:spacing w:before="156" w:after="156"/>
      </w:pPr>
      <w:bookmarkStart w:id="429" w:name="_Toc277061675"/>
      <w:bookmarkStart w:id="430" w:name="_Toc307323645"/>
      <w:bookmarkStart w:id="431" w:name="_Toc337675093"/>
      <w:bookmarkStart w:id="432" w:name="_Toc327802999"/>
      <w:bookmarkStart w:id="433" w:name="_Toc276987360"/>
      <w:bookmarkStart w:id="434" w:name="_Toc282778250"/>
      <w:bookmarkStart w:id="435" w:name="_Toc276822190"/>
      <w:bookmarkStart w:id="436" w:name="_Toc327803283"/>
      <w:bookmarkStart w:id="437" w:name="_Toc327803391"/>
      <w:bookmarkStart w:id="438" w:name="_Toc279473149"/>
      <w:bookmarkStart w:id="439" w:name="_Toc277059214"/>
      <w:bookmarkStart w:id="440" w:name="_Toc327905606"/>
      <w:bookmarkStart w:id="441" w:name="_Toc282199402"/>
      <w:r>
        <w:rPr>
          <w:rFonts w:hint="eastAsia"/>
        </w:rPr>
        <w:t>试验方法</w:t>
      </w:r>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97"/>
        <w:spacing w:before="156" w:after="156"/>
      </w:pPr>
      <w:r>
        <w:rPr>
          <w:rFonts w:hint="eastAsia"/>
        </w:rPr>
        <w:t>试验程序</w:t>
      </w:r>
    </w:p>
    <w:p>
      <w:pPr>
        <w:pStyle w:val="101"/>
        <w:spacing w:before="0" w:beforeLines="0" w:after="0" w:afterLines="0"/>
        <w:rPr>
          <w:rFonts w:ascii="Times New Roman" w:eastAsia="宋体"/>
          <w:kern w:val="2"/>
          <w:szCs w:val="24"/>
        </w:rPr>
      </w:pPr>
      <w:bookmarkStart w:id="442" w:name="_Ref276825235"/>
      <w:r>
        <w:rPr>
          <w:rFonts w:hint="eastAsia" w:ascii="Times New Roman" w:eastAsia="宋体"/>
          <w:kern w:val="2"/>
          <w:szCs w:val="24"/>
        </w:rPr>
        <w:t>在SFAD的前下横梁的中心施加135 N±15 N的力，以便调整SFAD和支撑装置之间前后位置的松紧。</w:t>
      </w:r>
      <w:bookmarkEnd w:id="442"/>
    </w:p>
    <w:p>
      <w:pPr>
        <w:pStyle w:val="101"/>
        <w:spacing w:before="0" w:beforeLines="0" w:after="0" w:afterLines="0"/>
        <w:rPr>
          <w:rFonts w:ascii="Times New Roman" w:eastAsia="宋体"/>
          <w:kern w:val="2"/>
          <w:szCs w:val="24"/>
        </w:rPr>
      </w:pPr>
      <w:bookmarkStart w:id="443" w:name="_Ref276825243"/>
      <w:r>
        <w:rPr>
          <w:rFonts w:hint="eastAsia" w:ascii="Times New Roman" w:eastAsia="宋体"/>
          <w:kern w:val="2"/>
          <w:szCs w:val="24"/>
        </w:rPr>
        <w:t>应按表1对SFAD施加前向和斜向的力。应制造商要求，每个试验都可在不同的车身上进行。前向力的施加方向与水平面成10</w:t>
      </w:r>
      <w:r>
        <w:rPr>
          <w:rFonts w:ascii="Times New Roman" w:eastAsia="宋体"/>
          <w:kern w:val="2"/>
          <w:szCs w:val="24"/>
        </w:rPr>
        <w:t>˚</w:t>
      </w:r>
      <w:r>
        <w:rPr>
          <w:rFonts w:hint="eastAsia" w:ascii="Times New Roman" w:eastAsia="宋体"/>
          <w:kern w:val="2"/>
          <w:szCs w:val="24"/>
        </w:rPr>
        <w:t>±5</w:t>
      </w:r>
      <w:r>
        <w:rPr>
          <w:rFonts w:ascii="Times New Roman" w:eastAsia="宋体"/>
          <w:kern w:val="2"/>
          <w:szCs w:val="24"/>
        </w:rPr>
        <w:t>˚</w:t>
      </w:r>
      <w:r>
        <w:rPr>
          <w:rFonts w:hint="eastAsia" w:ascii="Times New Roman" w:eastAsia="宋体"/>
          <w:kern w:val="2"/>
          <w:szCs w:val="24"/>
        </w:rPr>
        <w:t>。斜向力的施加方向与水平面成0</w:t>
      </w:r>
      <w:r>
        <w:rPr>
          <w:rFonts w:ascii="Times New Roman" w:eastAsia="宋体"/>
          <w:kern w:val="2"/>
          <w:szCs w:val="24"/>
        </w:rPr>
        <w:t>˚</w:t>
      </w:r>
      <w:r>
        <w:rPr>
          <w:rFonts w:hint="eastAsia" w:ascii="Times New Roman" w:eastAsia="宋体"/>
          <w:kern w:val="2"/>
          <w:szCs w:val="24"/>
        </w:rPr>
        <w:t>±5</w:t>
      </w:r>
      <w:r>
        <w:rPr>
          <w:rFonts w:ascii="Times New Roman" w:eastAsia="宋体"/>
          <w:kern w:val="2"/>
          <w:szCs w:val="24"/>
        </w:rPr>
        <w:t>˚</w:t>
      </w:r>
      <w:r>
        <w:rPr>
          <w:rFonts w:hint="eastAsia" w:ascii="Times New Roman" w:eastAsia="宋体"/>
          <w:kern w:val="2"/>
          <w:szCs w:val="24"/>
        </w:rPr>
        <w:t>。应对</w:t>
      </w:r>
      <w:r>
        <w:rPr>
          <w:rFonts w:ascii="Times New Roman" w:eastAsia="宋体"/>
          <w:kern w:val="2"/>
          <w:szCs w:val="24"/>
        </w:rPr>
        <w:fldChar w:fldCharType="begin"/>
      </w:r>
      <w:r>
        <w:rPr>
          <w:rFonts w:ascii="Times New Roman" w:eastAsia="宋体"/>
          <w:kern w:val="2"/>
          <w:szCs w:val="24"/>
        </w:rPr>
        <w:instrText xml:space="preserve"> REF _Ref276825204 \r \h  \* MERGEFORMAT </w:instrText>
      </w:r>
      <w:r>
        <w:rPr>
          <w:rFonts w:ascii="Times New Roman" w:eastAsia="宋体"/>
          <w:kern w:val="2"/>
          <w:szCs w:val="24"/>
        </w:rPr>
        <w:fldChar w:fldCharType="separate"/>
      </w:r>
      <w:r>
        <w:rPr>
          <w:rFonts w:ascii="Times New Roman" w:eastAsia="宋体"/>
          <w:kern w:val="2"/>
          <w:szCs w:val="24"/>
        </w:rPr>
        <w:t>0</w:t>
      </w:r>
      <w:r>
        <w:rPr>
          <w:rFonts w:ascii="Times New Roman" w:eastAsia="宋体"/>
          <w:kern w:val="2"/>
          <w:szCs w:val="24"/>
        </w:rPr>
        <w:fldChar w:fldCharType="end"/>
      </w:r>
      <w:r>
        <w:rPr>
          <w:rFonts w:hint="eastAsia" w:ascii="Times New Roman" w:eastAsia="宋体"/>
          <w:kern w:val="2"/>
          <w:szCs w:val="24"/>
        </w:rPr>
        <w:t>的X点进行500 N±25 N的预加载。应在30s内尽快加载到规定的最大力值。制造商可要求加载时间在2s以内，持续时间不少于0.2s。所有测量数据的滤波等级应满足ISO 6487中的CFC60或其它等效方法的要求。</w:t>
      </w:r>
      <w:bookmarkEnd w:id="443"/>
    </w:p>
    <w:p>
      <w:pPr>
        <w:pStyle w:val="115"/>
        <w:spacing w:before="156" w:after="156"/>
      </w:pPr>
      <w:bookmarkStart w:id="444" w:name="_Ref276825656"/>
      <w:r>
        <w:rPr>
          <w:rFonts w:hint="eastAsia"/>
        </w:rPr>
        <w:t>试验力的方向</w:t>
      </w:r>
      <w:bookmarkEnd w:id="444"/>
    </w:p>
    <w:tbl>
      <w:tblPr>
        <w:tblStyle w:val="28"/>
        <w:tblW w:w="955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6597"/>
        <w:gridCol w:w="20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tcBorders>
              <w:top w:val="single" w:color="auto" w:sz="8" w:space="0"/>
              <w:bottom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方向</w:t>
            </w:r>
          </w:p>
        </w:tc>
        <w:tc>
          <w:tcPr>
            <w:tcW w:w="6597" w:type="dxa"/>
            <w:tcBorders>
              <w:top w:val="single" w:color="auto" w:sz="8" w:space="0"/>
              <w:bottom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角度</w:t>
            </w:r>
          </w:p>
        </w:tc>
        <w:tc>
          <w:tcPr>
            <w:tcW w:w="2013" w:type="dxa"/>
            <w:tcBorders>
              <w:top w:val="single" w:color="auto" w:sz="8" w:space="0"/>
              <w:bottom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力值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tcBorders>
              <w:top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前向</w:t>
            </w:r>
          </w:p>
        </w:tc>
        <w:tc>
          <w:tcPr>
            <w:tcW w:w="6597" w:type="dxa"/>
            <w:tcBorders>
              <w:top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0</w:t>
            </w:r>
            <w:r>
              <w:rPr>
                <w:rFonts w:ascii="Times New Roman" w:hAnsi="Times New Roman"/>
                <w:sz w:val="18"/>
                <w:szCs w:val="24"/>
              </w:rPr>
              <w:t>˚</w:t>
            </w:r>
            <w:r>
              <w:rPr>
                <w:rFonts w:hint="eastAsia" w:ascii="宋体" w:hAnsi="宋体"/>
                <w:sz w:val="18"/>
                <w:szCs w:val="24"/>
              </w:rPr>
              <w:t>±5</w:t>
            </w:r>
            <w:r>
              <w:rPr>
                <w:rFonts w:ascii="Times New Roman" w:hAnsi="Times New Roman"/>
                <w:sz w:val="18"/>
                <w:szCs w:val="24"/>
              </w:rPr>
              <w:t>˚</w:t>
            </w:r>
          </w:p>
        </w:tc>
        <w:tc>
          <w:tcPr>
            <w:tcW w:w="2013" w:type="dxa"/>
            <w:tcBorders>
              <w:top w:val="single" w:color="auto" w:sz="8" w:space="0"/>
            </w:tcBorders>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8 kN±0.25 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斜向</w:t>
            </w:r>
          </w:p>
        </w:tc>
        <w:tc>
          <w:tcPr>
            <w:tcW w:w="6597" w:type="dxa"/>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75</w:t>
            </w:r>
            <w:r>
              <w:rPr>
                <w:rFonts w:ascii="Times New Roman" w:hAnsi="Times New Roman"/>
                <w:sz w:val="18"/>
                <w:szCs w:val="24"/>
              </w:rPr>
              <w:t>˚</w:t>
            </w:r>
            <w:r>
              <w:rPr>
                <w:rFonts w:hint="eastAsia" w:ascii="宋体" w:hAnsi="宋体"/>
                <w:sz w:val="18"/>
                <w:szCs w:val="24"/>
              </w:rPr>
              <w:t>±5</w:t>
            </w:r>
            <w:r>
              <w:rPr>
                <w:rFonts w:ascii="Times New Roman" w:hAnsi="Times New Roman"/>
                <w:sz w:val="18"/>
                <w:szCs w:val="24"/>
              </w:rPr>
              <w:t>˚</w:t>
            </w:r>
            <w:r>
              <w:rPr>
                <w:rFonts w:hint="eastAsia" w:ascii="宋体" w:hAnsi="宋体"/>
                <w:sz w:val="18"/>
                <w:szCs w:val="24"/>
              </w:rPr>
              <w:t>(施加于前向两侧，或较恶劣的一侧，或两侧对称时仅施加于其中一侧)</w:t>
            </w:r>
          </w:p>
        </w:tc>
        <w:tc>
          <w:tcPr>
            <w:tcW w:w="2013" w:type="dxa"/>
            <w:shd w:val="clear" w:color="auto" w:fill="auto"/>
            <w:vAlign w:val="center"/>
          </w:tcPr>
          <w:p>
            <w:pPr>
              <w:adjustRightInd/>
              <w:spacing w:line="240" w:lineRule="auto"/>
              <w:jc w:val="center"/>
              <w:rPr>
                <w:rFonts w:ascii="宋体" w:hAnsi="宋体"/>
                <w:sz w:val="18"/>
                <w:szCs w:val="24"/>
              </w:rPr>
            </w:pPr>
            <w:r>
              <w:rPr>
                <w:rFonts w:hint="eastAsia" w:ascii="宋体" w:hAnsi="宋体"/>
                <w:sz w:val="18"/>
                <w:szCs w:val="24"/>
              </w:rPr>
              <w:t>5 kN±0.25 kN</w:t>
            </w:r>
          </w:p>
        </w:tc>
      </w:tr>
    </w:tbl>
    <w:p>
      <w:pPr>
        <w:pStyle w:val="97"/>
        <w:spacing w:before="156" w:after="156"/>
      </w:pPr>
      <w:bookmarkStart w:id="445" w:name="_Ref276824223"/>
      <w:r>
        <w:rPr>
          <w:rFonts w:hint="eastAsia"/>
        </w:rPr>
        <w:t>ISOFIX固定点系统试验</w:t>
      </w:r>
      <w:bookmarkEnd w:id="445"/>
    </w:p>
    <w:p>
      <w:pPr>
        <w:pStyle w:val="101"/>
        <w:spacing w:before="156" w:after="156"/>
      </w:pPr>
      <w:r>
        <w:rPr>
          <w:rFonts w:hint="eastAsia"/>
        </w:rPr>
        <w:t>前向力试验</w:t>
      </w:r>
    </w:p>
    <w:p>
      <w:pPr>
        <w:pStyle w:val="59"/>
        <w:ind w:firstLine="420"/>
      </w:pPr>
      <w:r>
        <w:rPr>
          <w:rFonts w:hint="eastAsia"/>
        </w:rPr>
        <w:t>按</w:t>
      </w:r>
      <w:r>
        <w:fldChar w:fldCharType="begin"/>
      </w:r>
      <w:r>
        <w:instrText xml:space="preserve"> </w:instrText>
      </w:r>
      <w:r>
        <w:rPr>
          <w:rFonts w:hint="eastAsia"/>
        </w:rPr>
        <w:instrText xml:space="preserve">REF _Ref276825235 \r \h</w:instrText>
      </w:r>
      <w:r>
        <w:instrText xml:space="preserve">  \* MERGEFORMAT </w:instrText>
      </w:r>
      <w:r>
        <w:fldChar w:fldCharType="separate"/>
      </w:r>
      <w:r>
        <w:rPr>
          <w:rFonts w:hint="eastAsia"/>
        </w:rPr>
        <w:t>5.6.2.1.1　</w:t>
      </w:r>
      <w:r>
        <w:fldChar w:fldCharType="end"/>
      </w:r>
      <w:r>
        <w:rPr>
          <w:rFonts w:hint="eastAsia"/>
        </w:rPr>
        <w:t>对SFAD X点预加载后，按</w:t>
      </w:r>
      <w:r>
        <w:fldChar w:fldCharType="begin"/>
      </w:r>
      <w:r>
        <w:instrText xml:space="preserve"> </w:instrText>
      </w:r>
      <w:r>
        <w:rPr>
          <w:rFonts w:hint="eastAsia"/>
        </w:rPr>
        <w:instrText xml:space="preserve">REF _Ref276825243 \r \h</w:instrText>
      </w:r>
      <w:r>
        <w:instrText xml:space="preserve">  \* MERGEFORMAT </w:instrText>
      </w:r>
      <w:r>
        <w:fldChar w:fldCharType="separate"/>
      </w:r>
      <w:r>
        <w:rPr>
          <w:rFonts w:hint="eastAsia"/>
        </w:rPr>
        <w:t>5.6.2.1.2　</w:t>
      </w:r>
      <w:r>
        <w:fldChar w:fldCharType="end"/>
      </w:r>
      <w:r>
        <w:rPr>
          <w:rFonts w:hint="eastAsia"/>
        </w:rPr>
        <w:t>施加8 kN±0.25 kN的水平前向力。</w:t>
      </w:r>
    </w:p>
    <w:p>
      <w:pPr>
        <w:pStyle w:val="101"/>
        <w:spacing w:before="156" w:after="156"/>
      </w:pPr>
      <w:r>
        <w:rPr>
          <w:rFonts w:hint="eastAsia"/>
        </w:rPr>
        <w:t>斜向力试验</w:t>
      </w:r>
    </w:p>
    <w:p>
      <w:pPr>
        <w:pStyle w:val="59"/>
        <w:ind w:firstLine="420"/>
      </w:pPr>
      <w:r>
        <w:rPr>
          <w:rFonts w:hint="eastAsia"/>
        </w:rPr>
        <w:t>按</w:t>
      </w:r>
      <w:r>
        <w:fldChar w:fldCharType="begin"/>
      </w:r>
      <w:r>
        <w:instrText xml:space="preserve"> </w:instrText>
      </w:r>
      <w:r>
        <w:rPr>
          <w:rFonts w:hint="eastAsia"/>
        </w:rPr>
        <w:instrText xml:space="preserve">REF _Ref276825235 \r \h</w:instrText>
      </w:r>
      <w:r>
        <w:instrText xml:space="preserve">  \* MERGEFORMAT </w:instrText>
      </w:r>
      <w:r>
        <w:fldChar w:fldCharType="separate"/>
      </w:r>
      <w:r>
        <w:rPr>
          <w:rFonts w:hint="eastAsia"/>
        </w:rPr>
        <w:t>5.6.2.1.1　</w:t>
      </w:r>
      <w:r>
        <w:fldChar w:fldCharType="end"/>
      </w:r>
      <w:r>
        <w:rPr>
          <w:rFonts w:hint="eastAsia"/>
        </w:rPr>
        <w:t>对SFAD的X点预加载后，按</w:t>
      </w:r>
      <w:r>
        <w:fldChar w:fldCharType="begin"/>
      </w:r>
      <w:r>
        <w:instrText xml:space="preserve"> </w:instrText>
      </w:r>
      <w:r>
        <w:rPr>
          <w:rFonts w:hint="eastAsia"/>
        </w:rPr>
        <w:instrText xml:space="preserve">REF _Ref276825243 \r \h</w:instrText>
      </w:r>
      <w:r>
        <w:instrText xml:space="preserve">  \* MERGEFORMAT </w:instrText>
      </w:r>
      <w:r>
        <w:fldChar w:fldCharType="separate"/>
      </w:r>
      <w:r>
        <w:rPr>
          <w:rFonts w:hint="eastAsia"/>
        </w:rPr>
        <w:t>5.6.2.1.2　</w:t>
      </w:r>
      <w:r>
        <w:fldChar w:fldCharType="end"/>
      </w:r>
      <w:r>
        <w:rPr>
          <w:rFonts w:hint="eastAsia"/>
        </w:rPr>
        <w:t>施加5 kN±0.25 kN的斜向力。</w:t>
      </w:r>
    </w:p>
    <w:p>
      <w:pPr>
        <w:pStyle w:val="97"/>
        <w:spacing w:before="156" w:after="156"/>
      </w:pPr>
      <w:bookmarkStart w:id="446" w:name="_Ref276824229"/>
      <w:r>
        <w:rPr>
          <w:rFonts w:hint="eastAsia"/>
        </w:rPr>
        <w:t>带有ISOFIX上拉带固定点的ISOFIX固定点系统试验方法</w:t>
      </w:r>
      <w:bookmarkEnd w:id="446"/>
    </w:p>
    <w:p>
      <w:pPr>
        <w:pStyle w:val="59"/>
        <w:ind w:firstLine="420"/>
      </w:pPr>
      <w:r>
        <w:rPr>
          <w:rFonts w:hint="eastAsia"/>
        </w:rPr>
        <w:t>按</w:t>
      </w:r>
      <w:r>
        <w:fldChar w:fldCharType="begin"/>
      </w:r>
      <w:r>
        <w:instrText xml:space="preserve"> </w:instrText>
      </w:r>
      <w:r>
        <w:rPr>
          <w:rFonts w:hint="eastAsia"/>
        </w:rPr>
        <w:instrText xml:space="preserve">REF _Ref276825235 \r \h</w:instrText>
      </w:r>
      <w:r>
        <w:instrText xml:space="preserve">  \* MERGEFORMAT </w:instrText>
      </w:r>
      <w:r>
        <w:fldChar w:fldCharType="separate"/>
      </w:r>
      <w:r>
        <w:rPr>
          <w:rFonts w:hint="eastAsia"/>
        </w:rPr>
        <w:t>5.6.2.1.1　</w:t>
      </w:r>
      <w:r>
        <w:fldChar w:fldCharType="end"/>
      </w:r>
      <w:r>
        <w:rPr>
          <w:rFonts w:hint="eastAsia"/>
        </w:rPr>
        <w:t>对</w:t>
      </w:r>
      <w:r>
        <w:t>SFAD</w:t>
      </w:r>
      <w:r>
        <w:rPr>
          <w:rFonts w:hint="eastAsia"/>
        </w:rPr>
        <w:t>和上拉带固定点之间进行</w:t>
      </w:r>
      <w:r>
        <w:t>50 N</w:t>
      </w:r>
      <w:r>
        <w:rPr>
          <w:rFonts w:hint="eastAsia"/>
        </w:rPr>
        <w:t>±</w:t>
      </w:r>
      <w:r>
        <w:t>5 N</w:t>
      </w:r>
      <w:r>
        <w:rPr>
          <w:rFonts w:hint="eastAsia"/>
        </w:rPr>
        <w:t>的预加载，再按</w:t>
      </w:r>
      <w:r>
        <w:fldChar w:fldCharType="begin"/>
      </w:r>
      <w:r>
        <w:instrText xml:space="preserve"> </w:instrText>
      </w:r>
      <w:r>
        <w:rPr>
          <w:rFonts w:hint="eastAsia"/>
        </w:rPr>
        <w:instrText xml:space="preserve">REF _Ref276825243 \r \h</w:instrText>
      </w:r>
      <w:r>
        <w:instrText xml:space="preserve">  \* MERGEFORMAT </w:instrText>
      </w:r>
      <w:r>
        <w:fldChar w:fldCharType="separate"/>
      </w:r>
      <w:r>
        <w:rPr>
          <w:rFonts w:hint="eastAsia"/>
        </w:rPr>
        <w:t>5.6.2.1.2　</w:t>
      </w:r>
      <w:r>
        <w:fldChar w:fldCharType="end"/>
      </w:r>
      <w:r>
        <w:rPr>
          <w:rFonts w:hint="eastAsia"/>
        </w:rPr>
        <w:t>施加</w:t>
      </w:r>
      <w:r>
        <w:t>8</w:t>
      </w:r>
      <w:r>
        <w:rPr>
          <w:rFonts w:hint="eastAsia"/>
        </w:rPr>
        <w:t xml:space="preserve"> kN±</w:t>
      </w:r>
      <w:r>
        <w:t>0.25</w:t>
      </w:r>
      <w:r>
        <w:rPr>
          <w:rFonts w:hint="eastAsia"/>
        </w:rPr>
        <w:t xml:space="preserve"> kN的水平前向力。</w:t>
      </w:r>
    </w:p>
    <w:p>
      <w:pPr>
        <w:pStyle w:val="97"/>
        <w:spacing w:before="156" w:after="156"/>
        <w:rPr>
          <w:szCs w:val="21"/>
        </w:rPr>
      </w:pPr>
      <w:r>
        <w:rPr>
          <w:rFonts w:hint="eastAsia"/>
          <w:szCs w:val="21"/>
        </w:rPr>
        <w:t>i-Size乘坐位置试验</w:t>
      </w:r>
    </w:p>
    <w:p>
      <w:pPr>
        <w:pStyle w:val="59"/>
        <w:ind w:firstLine="420"/>
      </w:pPr>
      <w:r>
        <w:rPr>
          <w:rFonts w:hint="eastAsia"/>
        </w:rPr>
        <w:t>除了进行5.6.2.2和5.6.2.3规定的试验，还应使用一个带有支撑腿的静态加载装置进行试验。支撑腿试验装置应在长度方向调节以适应车辆地板接触表面，在高度方向调节到足部接触到车辆地板上表面。如果高度分段可调，选择足部稳固接触地板的第一档；如果高度连续可调，调节支撑腿试验装置高度使SFAD前后倾斜角度增加1.5°±0.5°。</w:t>
      </w:r>
    </w:p>
    <w:p>
      <w:pPr>
        <w:pStyle w:val="59"/>
        <w:ind w:firstLine="420"/>
      </w:pPr>
      <w:r>
        <w:rPr>
          <w:rFonts w:hint="eastAsia"/>
        </w:rPr>
        <w:t>按5.6.2.1.1对SFAD X点预加载后按5.6.2.1.2施加8 kN±0.25 kN的水平前向力。</w:t>
      </w:r>
    </w:p>
    <w:p>
      <w:pPr>
        <w:pStyle w:val="97"/>
        <w:spacing w:before="156" w:after="156"/>
      </w:pPr>
      <w:bookmarkStart w:id="447" w:name="_Ref276824238"/>
      <w:r>
        <w:rPr>
          <w:rFonts w:hint="eastAsia"/>
        </w:rPr>
        <w:t>座椅惯性力试验</w:t>
      </w:r>
      <w:bookmarkEnd w:id="447"/>
    </w:p>
    <w:p>
      <w:pPr>
        <w:pStyle w:val="59"/>
        <w:ind w:firstLine="420"/>
      </w:pPr>
      <w:r>
        <w:rPr>
          <w:rFonts w:hint="eastAsia"/>
        </w:rPr>
        <w:t>对不直接装在车辆结构上而力直接传递到车辆座椅总成上的安装位置，应进行本试验以保证座椅固定点有足够的强度。在这个试验中，沿纵向水平向前施加等于座椅总成或与座椅相关的相应座椅总成部件20倍质量的力。附加力及力的分布应由制造商确定并经检测机构认可。应制造商要求，该试验的附加力也可施加在SFAD的X点上。如果上固定点与座椅一体，试验应带ISOFIX上拉带。</w:t>
      </w:r>
    </w:p>
    <w:p>
      <w:pPr>
        <w:pStyle w:val="182"/>
        <w:numPr>
          <w:ilvl w:val="0"/>
          <w:numId w:val="0"/>
        </w:numPr>
        <w:ind w:left="737" w:hanging="374"/>
      </w:pPr>
      <w:r>
        <w:rPr>
          <w:rFonts w:hint="eastAsia"/>
        </w:rPr>
        <w:t>注：当安全带固定点与车辆座椅一体且座椅已完成试验，满足本标准对成人约束系统的固定点的加载要求，则本试验不再进行。</w:t>
      </w:r>
    </w:p>
    <w:p>
      <w:pPr>
        <w:pStyle w:val="107"/>
        <w:spacing w:before="312" w:after="312"/>
      </w:pPr>
      <w:bookmarkStart w:id="448" w:name="_Toc307323646"/>
      <w:bookmarkStart w:id="449" w:name="_Toc327803284"/>
      <w:bookmarkStart w:id="450" w:name="_Toc276822191"/>
      <w:bookmarkStart w:id="451" w:name="_Toc277059215"/>
      <w:bookmarkStart w:id="452" w:name="_Toc279473150"/>
      <w:bookmarkStart w:id="453" w:name="_Toc277061676"/>
      <w:bookmarkStart w:id="454" w:name="_Toc276987361"/>
      <w:bookmarkStart w:id="455" w:name="_Toc282778251"/>
      <w:bookmarkStart w:id="456" w:name="_Toc327803000"/>
      <w:bookmarkStart w:id="457" w:name="_Toc327803392"/>
      <w:bookmarkStart w:id="458" w:name="_Toc327905607"/>
      <w:bookmarkStart w:id="459" w:name="_Toc282199403"/>
      <w:bookmarkStart w:id="460" w:name="_Toc51404743"/>
      <w:bookmarkStart w:id="461" w:name="_Toc78142676"/>
      <w:bookmarkStart w:id="462" w:name="_Toc337675094"/>
      <w:bookmarkStart w:id="463" w:name="_Toc96705338"/>
      <w:r>
        <w:rPr>
          <w:rFonts w:hint="eastAsia"/>
        </w:rPr>
        <w:t>标准实施</w:t>
      </w:r>
      <w:bookmarkEnd w:id="448"/>
      <w:bookmarkEnd w:id="449"/>
      <w:bookmarkEnd w:id="450"/>
      <w:bookmarkEnd w:id="451"/>
      <w:bookmarkEnd w:id="452"/>
      <w:bookmarkEnd w:id="453"/>
      <w:bookmarkEnd w:id="454"/>
      <w:bookmarkEnd w:id="455"/>
      <w:bookmarkEnd w:id="456"/>
      <w:bookmarkEnd w:id="457"/>
      <w:bookmarkEnd w:id="458"/>
      <w:bookmarkEnd w:id="459"/>
      <w:r>
        <w:rPr>
          <w:rFonts w:hint="eastAsia"/>
        </w:rPr>
        <w:t>日期</w:t>
      </w:r>
      <w:bookmarkEnd w:id="460"/>
      <w:bookmarkEnd w:id="461"/>
      <w:bookmarkEnd w:id="462"/>
      <w:bookmarkEnd w:id="463"/>
    </w:p>
    <w:p>
      <w:pPr>
        <w:pStyle w:val="59"/>
        <w:ind w:firstLine="420"/>
        <w:rPr>
          <w:rFonts w:hint="eastAsia"/>
        </w:rPr>
      </w:pPr>
      <w:r>
        <w:rPr>
          <w:rFonts w:hint="eastAsia"/>
        </w:rPr>
        <w:t>对于新申请车辆型式批准的车型，自本文</w:t>
      </w:r>
      <w:bookmarkStart w:id="564" w:name="_GoBack"/>
      <w:bookmarkEnd w:id="564"/>
      <w:r>
        <w:rPr>
          <w:rFonts w:hint="eastAsia"/>
        </w:rPr>
        <w:t>件实施之日起开始执行；</w:t>
      </w:r>
    </w:p>
    <w:p>
      <w:pPr>
        <w:pStyle w:val="59"/>
        <w:ind w:firstLine="420"/>
      </w:pPr>
      <w:r>
        <w:rPr>
          <w:rFonts w:hint="eastAsia"/>
        </w:rPr>
        <w:t>对于已获得车辆型式批准的车型，自本文件实施之日起第13个月开始执行。</w:t>
      </w:r>
    </w:p>
    <w:bookmarkEnd w:id="22"/>
    <w:p>
      <w:pPr>
        <w:pStyle w:val="201"/>
        <w:rPr>
          <w:vanish w:val="0"/>
        </w:rPr>
      </w:pPr>
      <w:bookmarkStart w:id="464" w:name="BookMark5"/>
    </w:p>
    <w:p>
      <w:pPr>
        <w:pStyle w:val="202"/>
        <w:rPr>
          <w:vanish w:val="0"/>
        </w:rPr>
      </w:pPr>
    </w:p>
    <w:p>
      <w:pPr>
        <w:pStyle w:val="59"/>
        <w:ind w:firstLine="420"/>
        <w:sectPr>
          <w:pgSz w:w="11906" w:h="16838"/>
          <w:pgMar w:top="2410" w:right="1134" w:bottom="1134" w:left="1134" w:header="1418" w:footer="1134" w:gutter="284"/>
          <w:cols w:space="425" w:num="1"/>
          <w:formProt w:val="0"/>
          <w:docGrid w:type="lines" w:linePitch="312" w:charSpace="0"/>
        </w:sectPr>
      </w:pPr>
    </w:p>
    <w:p>
      <w:pPr>
        <w:pStyle w:val="201"/>
        <w:rPr>
          <w:vanish w:val="0"/>
        </w:rPr>
      </w:pPr>
    </w:p>
    <w:p>
      <w:pPr>
        <w:pStyle w:val="202"/>
        <w:rPr>
          <w:vanish w:val="0"/>
        </w:rPr>
      </w:pPr>
    </w:p>
    <w:p>
      <w:pPr>
        <w:pStyle w:val="79"/>
        <w:spacing w:before="78" w:after="156"/>
      </w:pPr>
      <w:r>
        <w:br w:type="textWrapping"/>
      </w:r>
      <w:bookmarkStart w:id="465" w:name="_Toc78142678"/>
      <w:bookmarkStart w:id="466" w:name="_Toc96705339"/>
      <w:r>
        <w:rPr>
          <w:rFonts w:hint="eastAsia"/>
        </w:rPr>
        <w:t>（规范性）</w:t>
      </w:r>
      <w:r>
        <w:br w:type="textWrapping"/>
      </w:r>
      <w:r>
        <w:rPr>
          <w:rFonts w:hint="eastAsia"/>
        </w:rPr>
        <w:t>ISOFIX固定点系统及ISOFIX上拉带固定点</w:t>
      </w:r>
      <w:bookmarkEnd w:id="465"/>
      <w:bookmarkEnd w:id="466"/>
    </w:p>
    <w:p>
      <w:pPr>
        <w:pStyle w:val="59"/>
        <w:ind w:firstLine="420"/>
        <w:jc w:val="center"/>
      </w:pPr>
      <w:r>
        <w:drawing>
          <wp:inline distT="0" distB="0" distL="0" distR="0">
            <wp:extent cx="2762250" cy="6785610"/>
            <wp:effectExtent l="0" t="0" r="0" b="0"/>
            <wp:docPr id="1" name="图片 1"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62250" cy="6785610"/>
                    </a:xfrm>
                    <a:prstGeom prst="rect">
                      <a:avLst/>
                    </a:prstGeom>
                    <a:noFill/>
                    <a:ln>
                      <a:noFill/>
                    </a:ln>
                  </pic:spPr>
                </pic:pic>
              </a:graphicData>
            </a:graphic>
          </wp:inline>
        </w:drawing>
      </w:r>
    </w:p>
    <w:p>
      <w:pPr>
        <w:pStyle w:val="86"/>
        <w:numPr>
          <w:ilvl w:val="0"/>
          <w:numId w:val="0"/>
        </w:numPr>
        <w:spacing w:before="156" w:after="156"/>
        <w:rPr>
          <w:rFonts w:cs="黑体"/>
        </w:rPr>
      </w:pPr>
      <w:bookmarkStart w:id="467" w:name="_Ref277577428"/>
      <w:r>
        <w:t>图</w:t>
      </w:r>
      <w:r>
        <w:rPr>
          <w:rFonts w:hint="eastAsia"/>
        </w:rPr>
        <w:t>A</w:t>
      </w:r>
      <w:r>
        <w:t xml:space="preserve">.1 </w:t>
      </w:r>
      <w:r>
        <w:rPr>
          <w:rFonts w:hint="eastAsia"/>
        </w:rPr>
        <w:t>静态加载装置(SFAD)</w:t>
      </w:r>
      <w:r>
        <w:rPr>
          <w:rFonts w:hint="eastAsia" w:cs="黑体"/>
        </w:rPr>
        <w:t>轴测图</w:t>
      </w:r>
      <w:bookmarkEnd w:id="467"/>
    </w:p>
    <w:p>
      <w:pPr>
        <w:pStyle w:val="232"/>
        <w:ind w:firstLine="0" w:firstLineChars="0"/>
        <w:jc w:val="right"/>
        <w:rPr>
          <w:sz w:val="18"/>
          <w:szCs w:val="18"/>
        </w:rPr>
      </w:pPr>
    </w:p>
    <w:p>
      <w:pPr>
        <w:pStyle w:val="232"/>
        <w:ind w:firstLine="0" w:firstLineChars="0"/>
        <w:jc w:val="right"/>
        <w:rPr>
          <w:sz w:val="18"/>
          <w:szCs w:val="18"/>
        </w:rPr>
      </w:pPr>
      <w:r>
        <w:rPr>
          <w:rFonts w:hint="eastAsia"/>
          <w:sz w:val="18"/>
          <w:szCs w:val="18"/>
        </w:rPr>
        <w:t>单位为mm</w:t>
      </w:r>
    </w:p>
    <w:p>
      <w:pPr>
        <w:pStyle w:val="59"/>
        <w:ind w:firstLine="420"/>
      </w:pPr>
      <w:r>
        <w:drawing>
          <wp:inline distT="0" distB="0" distL="0" distR="0">
            <wp:extent cx="4090670" cy="4493895"/>
            <wp:effectExtent l="0" t="0" r="5080" b="1905"/>
            <wp:docPr id="6" name="图片 6"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95386" cy="4498966"/>
                    </a:xfrm>
                    <a:prstGeom prst="rect">
                      <a:avLst/>
                    </a:prstGeom>
                    <a:noFill/>
                    <a:ln>
                      <a:noFill/>
                    </a:ln>
                  </pic:spPr>
                </pic:pic>
              </a:graphicData>
            </a:graphic>
          </wp:inline>
        </w:drawing>
      </w:r>
    </w:p>
    <w:p>
      <w:pPr>
        <w:pStyle w:val="59"/>
        <w:ind w:firstLine="0" w:firstLineChars="0"/>
        <w:jc w:val="center"/>
      </w:pPr>
      <w:r>
        <w:rPr>
          <w:rFonts w:hint="eastAsia"/>
        </w:rPr>
        <w:t>I部放大图</w:t>
      </w:r>
    </w:p>
    <w:p>
      <w:pPr>
        <w:pStyle w:val="59"/>
        <w:ind w:firstLine="0" w:firstLineChars="0"/>
        <w:jc w:val="center"/>
      </w:pPr>
      <w:r>
        <w:rPr>
          <w:rFonts w:hint="eastAsia"/>
        </w:rPr>
        <w:drawing>
          <wp:inline distT="0" distB="0" distL="0" distR="0">
            <wp:extent cx="3537585" cy="1629410"/>
            <wp:effectExtent l="0" t="0" r="5715" b="8890"/>
            <wp:docPr id="7" name="图片 7"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43601" cy="1632660"/>
                    </a:xfrm>
                    <a:prstGeom prst="rect">
                      <a:avLst/>
                    </a:prstGeom>
                    <a:noFill/>
                    <a:ln>
                      <a:noFill/>
                    </a:ln>
                  </pic:spPr>
                </pic:pic>
              </a:graphicData>
            </a:graphic>
          </wp:inline>
        </w:drawing>
      </w:r>
    </w:p>
    <w:p>
      <w:pPr>
        <w:pStyle w:val="232"/>
        <w:ind w:firstLine="360"/>
        <w:rPr>
          <w:sz w:val="18"/>
          <w:szCs w:val="18"/>
        </w:rPr>
      </w:pPr>
      <w:r>
        <w:rPr>
          <w:rFonts w:hint="eastAsia"/>
          <w:sz w:val="18"/>
          <w:szCs w:val="18"/>
        </w:rPr>
        <w:t>图中：</w:t>
      </w:r>
    </w:p>
    <w:p>
      <w:pPr>
        <w:pStyle w:val="232"/>
        <w:ind w:firstLine="360"/>
        <w:rPr>
          <w:sz w:val="18"/>
          <w:szCs w:val="18"/>
        </w:rPr>
      </w:pPr>
      <w:r>
        <w:rPr>
          <w:rFonts w:hint="eastAsia"/>
          <w:sz w:val="18"/>
          <w:szCs w:val="18"/>
        </w:rPr>
        <w:t>1——上拉带连接点；</w:t>
      </w:r>
    </w:p>
    <w:p>
      <w:pPr>
        <w:pStyle w:val="232"/>
        <w:ind w:firstLine="360"/>
        <w:rPr>
          <w:sz w:val="18"/>
          <w:szCs w:val="18"/>
        </w:rPr>
      </w:pPr>
      <w:r>
        <w:rPr>
          <w:rFonts w:hint="eastAsia"/>
          <w:sz w:val="18"/>
          <w:szCs w:val="18"/>
        </w:rPr>
        <w:t>2——如下所述刚度试验的枢轴连接件；</w:t>
      </w:r>
    </w:p>
    <w:p>
      <w:pPr>
        <w:pStyle w:val="59"/>
        <w:ind w:firstLine="360"/>
        <w:jc w:val="left"/>
        <w:rPr>
          <w:sz w:val="18"/>
          <w:szCs w:val="18"/>
        </w:rPr>
      </w:pPr>
      <w:r>
        <w:rPr>
          <w:sz w:val="18"/>
          <w:szCs w:val="18"/>
        </w:rPr>
        <w:t>SFAD</w:t>
      </w:r>
      <w:r>
        <w:rPr>
          <w:rFonts w:hint="eastAsia"/>
          <w:sz w:val="18"/>
          <w:szCs w:val="18"/>
        </w:rPr>
        <w:t>的刚度：当用SFAD前横梁连接到刚性固定杆时（SFAD由在</w:t>
      </w:r>
      <w:r>
        <w:rPr>
          <w:sz w:val="18"/>
          <w:szCs w:val="18"/>
        </w:rPr>
        <w:t>SFAD</w:t>
      </w:r>
      <w:r>
        <w:rPr>
          <w:rFonts w:hint="eastAsia"/>
          <w:sz w:val="18"/>
          <w:szCs w:val="18"/>
        </w:rPr>
        <w:t>基座下25 mm的纵向枢轴中心上的刚性杆支撑，以允许</w:t>
      </w:r>
      <w:r>
        <w:rPr>
          <w:sz w:val="18"/>
          <w:szCs w:val="18"/>
        </w:rPr>
        <w:t>SFAD</w:t>
      </w:r>
      <w:r>
        <w:rPr>
          <w:rFonts w:hint="eastAsia"/>
          <w:sz w:val="18"/>
          <w:szCs w:val="18"/>
        </w:rPr>
        <w:t>基座弯曲和扭转</w:t>
      </w:r>
      <w:r>
        <w:rPr>
          <w:sz w:val="18"/>
          <w:szCs w:val="18"/>
        </w:rPr>
        <w:t>）</w:t>
      </w:r>
      <w:r>
        <w:rPr>
          <w:rFonts w:hint="eastAsia"/>
          <w:sz w:val="18"/>
          <w:szCs w:val="18"/>
        </w:rPr>
        <w:t>，按本标准</w:t>
      </w:r>
      <w:r>
        <w:rPr>
          <w:sz w:val="18"/>
          <w:szCs w:val="18"/>
        </w:rPr>
        <w:fldChar w:fldCharType="begin"/>
      </w:r>
      <w:r>
        <w:rPr>
          <w:sz w:val="18"/>
          <w:szCs w:val="18"/>
        </w:rPr>
        <w:instrText xml:space="preserve"> </w:instrText>
      </w:r>
      <w:r>
        <w:rPr>
          <w:rFonts w:hint="eastAsia"/>
          <w:sz w:val="18"/>
          <w:szCs w:val="18"/>
        </w:rPr>
        <w:instrText xml:space="preserve">REF _Ref276825656 \r \h</w:instrText>
      </w:r>
      <w:r>
        <w:rPr>
          <w:sz w:val="18"/>
          <w:szCs w:val="18"/>
        </w:rPr>
        <w:instrText xml:space="preserve">  \* MERGEFORMAT </w:instrText>
      </w:r>
      <w:r>
        <w:rPr>
          <w:sz w:val="18"/>
          <w:szCs w:val="18"/>
        </w:rPr>
        <w:fldChar w:fldCharType="separate"/>
      </w:r>
      <w:r>
        <w:rPr>
          <w:rFonts w:hint="eastAsia"/>
          <w:sz w:val="18"/>
          <w:szCs w:val="18"/>
        </w:rPr>
        <w:t>表1　</w:t>
      </w:r>
      <w:r>
        <w:rPr>
          <w:sz w:val="18"/>
          <w:szCs w:val="18"/>
        </w:rPr>
        <w:fldChar w:fldCharType="end"/>
      </w:r>
      <w:r>
        <w:rPr>
          <w:rFonts w:hint="eastAsia"/>
          <w:sz w:val="18"/>
          <w:szCs w:val="18"/>
        </w:rPr>
        <w:t>规定的载荷加载时, X点在任何方向上的位移不应大于</w:t>
      </w:r>
      <w:r>
        <w:rPr>
          <w:sz w:val="18"/>
          <w:szCs w:val="18"/>
        </w:rPr>
        <w:t>2 mm</w:t>
      </w:r>
      <w:r>
        <w:rPr>
          <w:rFonts w:hint="eastAsia"/>
          <w:sz w:val="18"/>
          <w:szCs w:val="18"/>
        </w:rPr>
        <w:t>，测量时,</w:t>
      </w:r>
      <w:r>
        <w:rPr>
          <w:sz w:val="18"/>
          <w:szCs w:val="18"/>
        </w:rPr>
        <w:t>ISOFIX</w:t>
      </w:r>
      <w:r>
        <w:rPr>
          <w:rFonts w:hint="eastAsia"/>
          <w:sz w:val="18"/>
          <w:szCs w:val="18"/>
        </w:rPr>
        <w:t>固定点系统的变形应不包括在内。</w:t>
      </w:r>
    </w:p>
    <w:p>
      <w:pPr>
        <w:pStyle w:val="86"/>
        <w:numPr>
          <w:ilvl w:val="0"/>
          <w:numId w:val="0"/>
        </w:numPr>
        <w:spacing w:before="156" w:after="156"/>
      </w:pPr>
      <w:bookmarkStart w:id="468" w:name="_Ref276825204"/>
      <w:r>
        <w:t>图</w:t>
      </w:r>
      <w:r>
        <w:rPr>
          <w:rFonts w:hint="eastAsia"/>
        </w:rPr>
        <w:t>A</w:t>
      </w:r>
      <w:r>
        <w:t xml:space="preserve">.2 </w:t>
      </w:r>
      <w:r>
        <w:rPr>
          <w:rFonts w:hint="eastAsia"/>
        </w:rPr>
        <w:t>静态加载装置(SFAD)尺寸</w:t>
      </w:r>
      <w:bookmarkEnd w:id="468"/>
    </w:p>
    <w:p>
      <w:pPr>
        <w:pStyle w:val="59"/>
        <w:ind w:firstLine="360"/>
        <w:jc w:val="right"/>
        <w:rPr>
          <w:sz w:val="18"/>
          <w:szCs w:val="18"/>
        </w:rPr>
      </w:pPr>
      <w:r>
        <w:rPr>
          <w:rFonts w:hint="eastAsia"/>
          <w:sz w:val="18"/>
          <w:szCs w:val="18"/>
        </w:rPr>
        <w:t>单位为mm</w:t>
      </w:r>
    </w:p>
    <w:p>
      <w:pPr>
        <w:pStyle w:val="59"/>
        <w:ind w:firstLine="420"/>
        <w:jc w:val="center"/>
      </w:pPr>
      <w:bookmarkStart w:id="469" w:name="OLE_LINK6"/>
      <w:bookmarkStart w:id="470" w:name="OLE_LINK1"/>
      <w:r>
        <w:drawing>
          <wp:inline distT="0" distB="0" distL="0" distR="0">
            <wp:extent cx="5593715" cy="3928745"/>
            <wp:effectExtent l="0" t="0" r="0" b="0"/>
            <wp:docPr id="8" name="图片 8"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93715" cy="3928745"/>
                    </a:xfrm>
                    <a:prstGeom prst="rect">
                      <a:avLst/>
                    </a:prstGeom>
                    <a:noFill/>
                    <a:ln>
                      <a:noFill/>
                    </a:ln>
                  </pic:spPr>
                </pic:pic>
              </a:graphicData>
            </a:graphic>
          </wp:inline>
        </w:drawing>
      </w:r>
      <w:bookmarkEnd w:id="469"/>
      <w:bookmarkEnd w:id="470"/>
    </w:p>
    <w:p>
      <w:pPr>
        <w:pStyle w:val="232"/>
        <w:ind w:firstLine="360"/>
        <w:rPr>
          <w:sz w:val="18"/>
          <w:szCs w:val="18"/>
        </w:rPr>
      </w:pPr>
      <w:r>
        <w:rPr>
          <w:rFonts w:hint="eastAsia"/>
          <w:sz w:val="18"/>
          <w:szCs w:val="18"/>
        </w:rPr>
        <w:t>图中：</w:t>
      </w:r>
    </w:p>
    <w:p>
      <w:pPr>
        <w:pStyle w:val="232"/>
        <w:ind w:firstLine="360"/>
        <w:rPr>
          <w:sz w:val="18"/>
          <w:szCs w:val="18"/>
        </w:rPr>
      </w:pPr>
      <w:r>
        <w:rPr>
          <w:rFonts w:hint="eastAsia"/>
          <w:sz w:val="18"/>
          <w:szCs w:val="18"/>
        </w:rPr>
        <w:drawing>
          <wp:inline distT="0" distB="0" distL="0" distR="0">
            <wp:extent cx="598805" cy="1200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lum contrast="100000"/>
                      <a:extLst>
                        <a:ext uri="{28A0092B-C50C-407E-A947-70E740481C1C}">
                          <a14:useLocalDpi xmlns:a14="http://schemas.microsoft.com/office/drawing/2010/main" val="0"/>
                        </a:ext>
                      </a:extLst>
                    </a:blip>
                    <a:srcRect/>
                    <a:stretch>
                      <a:fillRect/>
                    </a:stretch>
                  </pic:blipFill>
                  <pic:spPr>
                    <a:xfrm>
                      <a:off x="0" y="0"/>
                      <a:ext cx="598805" cy="120015"/>
                    </a:xfrm>
                    <a:prstGeom prst="rect">
                      <a:avLst/>
                    </a:prstGeom>
                    <a:noFill/>
                    <a:ln>
                      <a:noFill/>
                    </a:ln>
                  </pic:spPr>
                </pic:pic>
              </a:graphicData>
            </a:graphic>
          </wp:inline>
        </w:drawing>
      </w:r>
      <w:r>
        <w:rPr>
          <w:rFonts w:hint="eastAsia"/>
          <w:sz w:val="18"/>
          <w:szCs w:val="18"/>
        </w:rPr>
        <w:t>——周围结构(如果有)；</w:t>
      </w:r>
    </w:p>
    <w:p>
      <w:pPr>
        <w:pStyle w:val="59"/>
        <w:ind w:firstLine="360"/>
        <w:jc w:val="left"/>
        <w:rPr>
          <w:sz w:val="18"/>
          <w:szCs w:val="18"/>
        </w:rPr>
      </w:pPr>
      <w:r>
        <w:rPr>
          <w:rFonts w:hint="eastAsia"/>
          <w:sz w:val="18"/>
          <w:szCs w:val="18"/>
        </w:rPr>
        <w:drawing>
          <wp:inline distT="0" distB="0" distL="0" distR="0">
            <wp:extent cx="598805" cy="1327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lum contrast="100000"/>
                      <a:extLst>
                        <a:ext uri="{28A0092B-C50C-407E-A947-70E740481C1C}">
                          <a14:useLocalDpi xmlns:a14="http://schemas.microsoft.com/office/drawing/2010/main" val="0"/>
                        </a:ext>
                      </a:extLst>
                    </a:blip>
                    <a:srcRect b="15924"/>
                    <a:stretch>
                      <a:fillRect/>
                    </a:stretch>
                  </pic:blipFill>
                  <pic:spPr>
                    <a:xfrm>
                      <a:off x="0" y="0"/>
                      <a:ext cx="598805" cy="132715"/>
                    </a:xfrm>
                    <a:prstGeom prst="rect">
                      <a:avLst/>
                    </a:prstGeom>
                    <a:noFill/>
                    <a:ln>
                      <a:noFill/>
                    </a:ln>
                  </pic:spPr>
                </pic:pic>
              </a:graphicData>
            </a:graphic>
          </wp:inline>
        </w:drawing>
      </w:r>
      <w:r>
        <w:rPr>
          <w:rFonts w:hint="eastAsia"/>
          <w:sz w:val="18"/>
          <w:szCs w:val="18"/>
        </w:rPr>
        <w:t>——应全部位于上固定钩接触面的区域。</w:t>
      </w:r>
    </w:p>
    <w:p>
      <w:pPr>
        <w:pStyle w:val="86"/>
        <w:numPr>
          <w:ilvl w:val="0"/>
          <w:numId w:val="0"/>
        </w:numPr>
        <w:spacing w:before="156" w:after="156"/>
      </w:pPr>
      <w:bookmarkStart w:id="471" w:name="_Ref276823254"/>
      <w:r>
        <w:t>图</w:t>
      </w:r>
      <w:r>
        <w:rPr>
          <w:rFonts w:hint="eastAsia"/>
        </w:rPr>
        <w:t>A</w:t>
      </w:r>
      <w:r>
        <w:t xml:space="preserve">.3 </w:t>
      </w:r>
      <w:r>
        <w:rPr>
          <w:rFonts w:hint="eastAsia"/>
        </w:rPr>
        <w:t>ISOFIX上拉带连接件(钩型)尺寸</w:t>
      </w:r>
      <w:bookmarkEnd w:id="471"/>
    </w:p>
    <w:p>
      <w:pPr>
        <w:pStyle w:val="59"/>
        <w:ind w:firstLine="360"/>
        <w:jc w:val="center"/>
      </w:pPr>
      <w:r>
        <w:rPr>
          <w:rFonts w:hint="eastAsia"/>
          <w:sz w:val="18"/>
          <w:szCs w:val="18"/>
        </w:rPr>
        <w:drawing>
          <wp:inline distT="0" distB="0" distL="0" distR="0">
            <wp:extent cx="4559300" cy="1652270"/>
            <wp:effectExtent l="0" t="0" r="0" b="5080"/>
            <wp:docPr id="11" name="图片 11"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59300" cy="1652270"/>
                    </a:xfrm>
                    <a:prstGeom prst="rect">
                      <a:avLst/>
                    </a:prstGeom>
                    <a:noFill/>
                    <a:ln>
                      <a:noFill/>
                    </a:ln>
                  </pic:spPr>
                </pic:pic>
              </a:graphicData>
            </a:graphic>
          </wp:inline>
        </w:drawing>
      </w:r>
    </w:p>
    <w:p>
      <w:pPr>
        <w:pStyle w:val="86"/>
        <w:numPr>
          <w:ilvl w:val="0"/>
          <w:numId w:val="0"/>
        </w:numPr>
        <w:spacing w:before="156" w:after="156"/>
      </w:pPr>
      <w:bookmarkStart w:id="472" w:name="_Ref276823329"/>
      <w:r>
        <w:t>图</w:t>
      </w:r>
      <w:r>
        <w:rPr>
          <w:rFonts w:hint="eastAsia"/>
        </w:rPr>
        <w:t>A</w:t>
      </w:r>
      <w:r>
        <w:t xml:space="preserve">.4 </w:t>
      </w:r>
      <w:r>
        <w:rPr>
          <w:rFonts w:hint="eastAsia"/>
        </w:rPr>
        <w:t>两个下固定点之间的距离</w:t>
      </w:r>
      <w:bookmarkEnd w:id="472"/>
    </w:p>
    <w:p>
      <w:pPr>
        <w:pStyle w:val="59"/>
        <w:ind w:firstLine="420"/>
      </w:pPr>
    </w:p>
    <w:p>
      <w:pPr>
        <w:pStyle w:val="59"/>
        <w:ind w:firstLine="420"/>
      </w:pPr>
    </w:p>
    <w:p>
      <w:pPr>
        <w:pStyle w:val="59"/>
        <w:ind w:firstLine="420"/>
      </w:pPr>
    </w:p>
    <w:p>
      <w:pPr>
        <w:pStyle w:val="59"/>
        <w:ind w:firstLine="420"/>
      </w:pPr>
    </w:p>
    <w:p>
      <w:pPr>
        <w:widowControl/>
        <w:adjustRightInd/>
        <w:spacing w:line="240" w:lineRule="auto"/>
        <w:jc w:val="left"/>
        <w:rPr>
          <w:rFonts w:ascii="宋体" w:hAnsi="Times New Roman"/>
          <w:kern w:val="0"/>
          <w:szCs w:val="20"/>
        </w:rPr>
      </w:pPr>
      <w:r>
        <w:br w:type="page"/>
      </w:r>
    </w:p>
    <w:p>
      <w:pPr>
        <w:pStyle w:val="59"/>
        <w:ind w:firstLine="360"/>
        <w:jc w:val="right"/>
      </w:pPr>
      <w:r>
        <w:rPr>
          <w:rFonts w:hint="eastAsia"/>
          <w:sz w:val="18"/>
          <w:szCs w:val="18"/>
        </w:rPr>
        <w:t>单位为mm</w:t>
      </w:r>
    </w:p>
    <w:p>
      <w:pPr>
        <w:pStyle w:val="59"/>
        <w:ind w:firstLine="420"/>
        <w:jc w:val="center"/>
      </w:pPr>
      <w:r>
        <w:drawing>
          <wp:inline distT="0" distB="0" distL="0" distR="0">
            <wp:extent cx="4451985" cy="3007995"/>
            <wp:effectExtent l="0" t="0" r="5715" b="1905"/>
            <wp:docPr id="12" name="图片 12"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51985" cy="3007995"/>
                    </a:xfrm>
                    <a:prstGeom prst="rect">
                      <a:avLst/>
                    </a:prstGeom>
                    <a:noFill/>
                    <a:ln>
                      <a:noFill/>
                    </a:ln>
                  </pic:spPr>
                </pic:pic>
              </a:graphicData>
            </a:graphic>
          </wp:inline>
        </w:drawing>
      </w:r>
    </w:p>
    <w:p>
      <w:pPr>
        <w:pStyle w:val="86"/>
        <w:numPr>
          <w:ilvl w:val="0"/>
          <w:numId w:val="0"/>
        </w:numPr>
        <w:spacing w:before="156" w:after="156"/>
      </w:pPr>
      <w:bookmarkStart w:id="473" w:name="_Ref276823633"/>
      <w:r>
        <w:t>图</w:t>
      </w:r>
      <w:r>
        <w:rPr>
          <w:rFonts w:hint="eastAsia"/>
        </w:rPr>
        <w:t>A</w:t>
      </w:r>
      <w:r>
        <w:t xml:space="preserve">.5 </w:t>
      </w:r>
      <w:r>
        <w:rPr>
          <w:rFonts w:hint="eastAsia"/>
        </w:rPr>
        <w:t>二维模板</w:t>
      </w:r>
      <w:bookmarkEnd w:id="473"/>
    </w:p>
    <w:p>
      <w:pPr>
        <w:pStyle w:val="59"/>
        <w:ind w:firstLine="420"/>
      </w:pPr>
    </w:p>
    <w:p>
      <w:pPr>
        <w:pStyle w:val="80"/>
        <w:numPr>
          <w:ilvl w:val="0"/>
          <w:numId w:val="0"/>
        </w:numPr>
        <w:spacing w:before="156" w:after="156"/>
      </w:pPr>
      <w:r>
        <w:rPr>
          <w:rFonts w:hint="eastAsia"/>
        </w:rPr>
        <w:t>图</w:t>
      </w:r>
      <w:r>
        <w:t xml:space="preserve">A.1 </w:t>
      </w:r>
      <w:r>
        <w:rPr>
          <w:rFonts w:hint="eastAsia"/>
        </w:rPr>
        <w:t>腿部尺寸</w:t>
      </w:r>
    </w:p>
    <w:p>
      <w:pPr>
        <w:pStyle w:val="59"/>
        <w:ind w:firstLine="360"/>
        <w:jc w:val="right"/>
        <w:rPr>
          <w:sz w:val="18"/>
          <w:szCs w:val="18"/>
        </w:rPr>
      </w:pPr>
      <w:r>
        <w:rPr>
          <w:rFonts w:hint="eastAsia"/>
          <w:sz w:val="18"/>
          <w:szCs w:val="18"/>
        </w:rPr>
        <w:t>单位为mm</w:t>
      </w:r>
    </w:p>
    <w:tbl>
      <w:tblPr>
        <w:tblStyle w:val="28"/>
        <w:tblW w:w="95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3"/>
        <w:gridCol w:w="2394"/>
        <w:gridCol w:w="2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92" w:type="dxa"/>
            <w:tcBorders>
              <w:top w:val="single" w:color="auto" w:sz="8" w:space="0"/>
              <w:bottom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假人规格</w:t>
            </w:r>
          </w:p>
        </w:tc>
        <w:tc>
          <w:tcPr>
            <w:tcW w:w="2393" w:type="dxa"/>
            <w:tcBorders>
              <w:top w:val="single" w:color="auto" w:sz="8" w:space="0"/>
              <w:bottom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10百分位</w:t>
            </w:r>
          </w:p>
        </w:tc>
        <w:tc>
          <w:tcPr>
            <w:tcW w:w="2394" w:type="dxa"/>
            <w:tcBorders>
              <w:top w:val="single" w:color="auto" w:sz="8" w:space="0"/>
              <w:bottom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50百分位</w:t>
            </w:r>
          </w:p>
        </w:tc>
        <w:tc>
          <w:tcPr>
            <w:tcW w:w="2393" w:type="dxa"/>
            <w:tcBorders>
              <w:top w:val="single" w:color="auto" w:sz="8" w:space="0"/>
              <w:bottom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95百分位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92" w:type="dxa"/>
            <w:tcBorders>
              <w:top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小腿长度（A）</w:t>
            </w:r>
          </w:p>
        </w:tc>
        <w:tc>
          <w:tcPr>
            <w:tcW w:w="2393" w:type="dxa"/>
            <w:tcBorders>
              <w:top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390.4</w:t>
            </w:r>
          </w:p>
        </w:tc>
        <w:tc>
          <w:tcPr>
            <w:tcW w:w="2394" w:type="dxa"/>
            <w:tcBorders>
              <w:top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417.5</w:t>
            </w:r>
          </w:p>
        </w:tc>
        <w:tc>
          <w:tcPr>
            <w:tcW w:w="2393" w:type="dxa"/>
            <w:tcBorders>
              <w:top w:val="single" w:color="auto" w:sz="8" w:space="0"/>
            </w:tcBorders>
            <w:shd w:val="clear" w:color="auto" w:fill="auto"/>
            <w:vAlign w:val="center"/>
          </w:tcPr>
          <w:p>
            <w:pPr>
              <w:pStyle w:val="232"/>
              <w:ind w:firstLine="0" w:firstLineChars="0"/>
              <w:jc w:val="center"/>
              <w:rPr>
                <w:sz w:val="18"/>
                <w:szCs w:val="18"/>
              </w:rPr>
            </w:pPr>
            <w:r>
              <w:rPr>
                <w:rFonts w:hint="eastAsia"/>
                <w:sz w:val="18"/>
                <w:szCs w:val="18"/>
              </w:rPr>
              <w:t>459.1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92" w:type="dxa"/>
            <w:shd w:val="clear" w:color="auto" w:fill="auto"/>
            <w:vAlign w:val="center"/>
          </w:tcPr>
          <w:p>
            <w:pPr>
              <w:pStyle w:val="232"/>
              <w:ind w:firstLine="0" w:firstLineChars="0"/>
              <w:jc w:val="center"/>
              <w:rPr>
                <w:sz w:val="18"/>
                <w:szCs w:val="18"/>
              </w:rPr>
            </w:pPr>
            <w:r>
              <w:rPr>
                <w:rFonts w:hint="eastAsia"/>
                <w:sz w:val="18"/>
                <w:szCs w:val="18"/>
              </w:rPr>
              <w:t>大腿长度（B）</w:t>
            </w:r>
          </w:p>
        </w:tc>
        <w:tc>
          <w:tcPr>
            <w:tcW w:w="2393" w:type="dxa"/>
            <w:shd w:val="clear" w:color="auto" w:fill="auto"/>
            <w:vAlign w:val="center"/>
          </w:tcPr>
          <w:p>
            <w:pPr>
              <w:pStyle w:val="232"/>
              <w:ind w:firstLine="0" w:firstLineChars="0"/>
              <w:jc w:val="center"/>
              <w:rPr>
                <w:sz w:val="18"/>
                <w:szCs w:val="18"/>
              </w:rPr>
            </w:pPr>
            <w:r>
              <w:rPr>
                <w:rFonts w:hint="eastAsia"/>
                <w:sz w:val="18"/>
                <w:szCs w:val="18"/>
              </w:rPr>
              <w:t>407.7</w:t>
            </w:r>
          </w:p>
        </w:tc>
        <w:tc>
          <w:tcPr>
            <w:tcW w:w="2394" w:type="dxa"/>
            <w:shd w:val="clear" w:color="auto" w:fill="auto"/>
            <w:vAlign w:val="center"/>
          </w:tcPr>
          <w:p>
            <w:pPr>
              <w:pStyle w:val="232"/>
              <w:ind w:firstLine="0" w:firstLineChars="0"/>
              <w:jc w:val="center"/>
              <w:rPr>
                <w:sz w:val="18"/>
                <w:szCs w:val="18"/>
              </w:rPr>
            </w:pPr>
            <w:r>
              <w:rPr>
                <w:rFonts w:hint="eastAsia"/>
                <w:sz w:val="18"/>
                <w:szCs w:val="18"/>
              </w:rPr>
              <w:t>431.5</w:t>
            </w:r>
          </w:p>
        </w:tc>
        <w:tc>
          <w:tcPr>
            <w:tcW w:w="2393" w:type="dxa"/>
            <w:shd w:val="clear" w:color="auto" w:fill="auto"/>
            <w:vAlign w:val="center"/>
          </w:tcPr>
          <w:p>
            <w:pPr>
              <w:pStyle w:val="232"/>
              <w:ind w:firstLine="0" w:firstLineChars="0"/>
              <w:jc w:val="center"/>
              <w:rPr>
                <w:sz w:val="18"/>
                <w:szCs w:val="18"/>
              </w:rPr>
            </w:pPr>
            <w:r>
              <w:rPr>
                <w:rFonts w:hint="eastAsia"/>
                <w:sz w:val="18"/>
                <w:szCs w:val="18"/>
              </w:rPr>
              <w:t>456.0</w:t>
            </w:r>
          </w:p>
        </w:tc>
      </w:tr>
    </w:tbl>
    <w:p>
      <w:pPr>
        <w:pStyle w:val="59"/>
        <w:ind w:firstLine="420"/>
        <w:jc w:val="center"/>
      </w:pPr>
    </w:p>
    <w:p>
      <w:pPr>
        <w:widowControl/>
        <w:adjustRightInd/>
        <w:spacing w:line="240" w:lineRule="auto"/>
        <w:jc w:val="left"/>
        <w:rPr>
          <w:rFonts w:ascii="宋体" w:hAnsi="Times New Roman"/>
          <w:kern w:val="0"/>
          <w:szCs w:val="20"/>
        </w:rPr>
      </w:pPr>
      <w:r>
        <w:br w:type="page"/>
      </w:r>
    </w:p>
    <w:p>
      <w:pPr>
        <w:pStyle w:val="59"/>
        <w:ind w:firstLine="360"/>
        <w:jc w:val="right"/>
        <w:rPr>
          <w:sz w:val="18"/>
          <w:szCs w:val="18"/>
        </w:rPr>
      </w:pPr>
      <w:r>
        <w:rPr>
          <w:rFonts w:hint="eastAsia"/>
          <w:sz w:val="18"/>
          <w:szCs w:val="18"/>
        </w:rPr>
        <w:t>单位为mm</w:t>
      </w:r>
    </w:p>
    <w:p>
      <w:pPr>
        <w:pStyle w:val="59"/>
        <w:ind w:firstLine="420"/>
        <w:jc w:val="center"/>
      </w:pPr>
      <w:r>
        <w:rPr>
          <w:rFonts w:hint="eastAsia"/>
        </w:rPr>
        <w:drawing>
          <wp:inline distT="0" distB="0" distL="0" distR="0">
            <wp:extent cx="3669665" cy="3707130"/>
            <wp:effectExtent l="0" t="0" r="0" b="7620"/>
            <wp:docPr id="13" name="图片 13"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70143" cy="3707536"/>
                    </a:xfrm>
                    <a:prstGeom prst="rect">
                      <a:avLst/>
                    </a:prstGeom>
                    <a:noFill/>
                    <a:ln>
                      <a:noFill/>
                    </a:ln>
                  </pic:spPr>
                </pic:pic>
              </a:graphicData>
            </a:graphic>
          </wp:inline>
        </w:drawing>
      </w:r>
    </w:p>
    <w:p>
      <w:pPr>
        <w:pStyle w:val="232"/>
        <w:ind w:firstLine="360"/>
        <w:rPr>
          <w:rFonts w:hAnsi="宋体"/>
          <w:sz w:val="18"/>
          <w:szCs w:val="18"/>
        </w:rPr>
      </w:pPr>
      <w:r>
        <w:rPr>
          <w:rFonts w:hint="eastAsia" w:hAnsi="宋体"/>
          <w:sz w:val="18"/>
          <w:szCs w:val="18"/>
        </w:rPr>
        <w:t>1——靠背角；</w:t>
      </w:r>
    </w:p>
    <w:p>
      <w:pPr>
        <w:pStyle w:val="232"/>
        <w:ind w:firstLine="360"/>
        <w:rPr>
          <w:rFonts w:hAnsi="宋体"/>
          <w:sz w:val="18"/>
          <w:szCs w:val="18"/>
        </w:rPr>
      </w:pPr>
      <w:r>
        <w:rPr>
          <w:rFonts w:hint="eastAsia" w:hAnsi="宋体"/>
          <w:sz w:val="18"/>
          <w:szCs w:val="18"/>
        </w:rPr>
        <w:t>2——躯干线基准面和底面的交点；</w:t>
      </w:r>
    </w:p>
    <w:p>
      <w:pPr>
        <w:pStyle w:val="232"/>
        <w:ind w:firstLine="360"/>
        <w:rPr>
          <w:rFonts w:hAnsi="宋体"/>
          <w:sz w:val="18"/>
          <w:szCs w:val="18"/>
        </w:rPr>
      </w:pPr>
      <w:r>
        <w:rPr>
          <w:rFonts w:hint="eastAsia" w:hAnsi="宋体"/>
          <w:sz w:val="18"/>
          <w:szCs w:val="18"/>
        </w:rPr>
        <w:t>3——躯干线基准面；</w:t>
      </w:r>
    </w:p>
    <w:p>
      <w:pPr>
        <w:pStyle w:val="232"/>
        <w:ind w:firstLine="360"/>
        <w:rPr>
          <w:rFonts w:hAnsi="宋体"/>
          <w:sz w:val="18"/>
          <w:szCs w:val="18"/>
        </w:rPr>
      </w:pPr>
      <w:r>
        <w:rPr>
          <w:rFonts w:hint="eastAsia" w:hAnsi="宋体"/>
          <w:sz w:val="18"/>
          <w:szCs w:val="18"/>
        </w:rPr>
        <w:t>4——H点；</w:t>
      </w:r>
    </w:p>
    <w:p>
      <w:pPr>
        <w:pStyle w:val="232"/>
        <w:ind w:firstLine="360"/>
        <w:rPr>
          <w:rFonts w:hAnsi="宋体"/>
          <w:sz w:val="18"/>
          <w:szCs w:val="18"/>
        </w:rPr>
      </w:pPr>
      <w:r>
        <w:rPr>
          <w:rFonts w:hint="eastAsia" w:hAnsi="宋体"/>
          <w:sz w:val="18"/>
          <w:szCs w:val="18"/>
        </w:rPr>
        <w:t>5——</w:t>
      </w:r>
      <w:r>
        <w:rPr>
          <w:rFonts w:hAnsi="宋体"/>
          <w:sz w:val="18"/>
          <w:szCs w:val="18"/>
        </w:rPr>
        <w:t>“</w:t>
      </w:r>
      <w:r>
        <w:rPr>
          <w:rFonts w:hint="eastAsia" w:hAnsi="宋体"/>
          <w:sz w:val="18"/>
          <w:szCs w:val="18"/>
        </w:rPr>
        <w:t>V</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6——</w:t>
      </w:r>
      <w:r>
        <w:rPr>
          <w:rFonts w:hAnsi="宋体"/>
          <w:sz w:val="18"/>
          <w:szCs w:val="18"/>
        </w:rPr>
        <w:t>R</w:t>
      </w:r>
      <w:r>
        <w:rPr>
          <w:rFonts w:hint="eastAsia" w:hAnsi="宋体"/>
          <w:sz w:val="18"/>
          <w:szCs w:val="18"/>
        </w:rPr>
        <w:t>点；</w:t>
      </w:r>
    </w:p>
    <w:p>
      <w:pPr>
        <w:pStyle w:val="232"/>
        <w:ind w:firstLine="360"/>
        <w:rPr>
          <w:rFonts w:hAnsi="宋体"/>
          <w:sz w:val="18"/>
          <w:szCs w:val="18"/>
        </w:rPr>
      </w:pPr>
      <w:r>
        <w:rPr>
          <w:rFonts w:hint="eastAsia" w:hAnsi="宋体"/>
          <w:sz w:val="18"/>
          <w:szCs w:val="18"/>
        </w:rPr>
        <w:t>7——</w:t>
      </w:r>
      <w:r>
        <w:rPr>
          <w:rFonts w:hAnsi="宋体"/>
          <w:sz w:val="18"/>
          <w:szCs w:val="18"/>
        </w:rPr>
        <w:t>“</w:t>
      </w:r>
      <w:r>
        <w:rPr>
          <w:rFonts w:hint="eastAsia" w:hAnsi="宋体"/>
          <w:sz w:val="18"/>
          <w:szCs w:val="18"/>
        </w:rPr>
        <w:t>W</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8——垂直纵向平面；</w:t>
      </w:r>
    </w:p>
    <w:p>
      <w:pPr>
        <w:pStyle w:val="232"/>
        <w:ind w:firstLine="360"/>
        <w:rPr>
          <w:rFonts w:hAnsi="宋体"/>
          <w:sz w:val="18"/>
          <w:szCs w:val="18"/>
        </w:rPr>
      </w:pPr>
      <w:r>
        <w:rPr>
          <w:rFonts w:hint="eastAsia" w:hAnsi="宋体"/>
          <w:sz w:val="18"/>
          <w:szCs w:val="18"/>
        </w:rPr>
        <w:t>9——从</w:t>
      </w:r>
      <w:r>
        <w:rPr>
          <w:rFonts w:hAnsi="宋体"/>
          <w:sz w:val="18"/>
          <w:szCs w:val="18"/>
        </w:rPr>
        <w:t>“</w:t>
      </w:r>
      <w:r>
        <w:rPr>
          <w:rFonts w:hint="eastAsia" w:hAnsi="宋体"/>
          <w:sz w:val="18"/>
          <w:szCs w:val="18"/>
        </w:rPr>
        <w:t>V</w:t>
      </w:r>
      <w:r>
        <w:rPr>
          <w:rFonts w:hAnsi="宋体"/>
          <w:sz w:val="18"/>
          <w:szCs w:val="18"/>
        </w:rPr>
        <w:t>”</w:t>
      </w:r>
      <w:r>
        <w:rPr>
          <w:rFonts w:hint="eastAsia" w:hAnsi="宋体"/>
          <w:sz w:val="18"/>
          <w:szCs w:val="18"/>
        </w:rPr>
        <w:t>点织带卷绕长度：250 mm；</w:t>
      </w:r>
    </w:p>
    <w:p>
      <w:pPr>
        <w:pStyle w:val="232"/>
        <w:ind w:firstLine="360"/>
        <w:rPr>
          <w:rFonts w:hAnsi="宋体"/>
          <w:sz w:val="18"/>
          <w:szCs w:val="18"/>
        </w:rPr>
      </w:pPr>
      <w:r>
        <w:rPr>
          <w:rFonts w:hint="eastAsia" w:hAnsi="宋体"/>
          <w:sz w:val="18"/>
          <w:szCs w:val="18"/>
        </w:rPr>
        <w:t>10——从</w:t>
      </w:r>
      <w:r>
        <w:rPr>
          <w:rFonts w:hAnsi="宋体"/>
          <w:sz w:val="18"/>
          <w:szCs w:val="18"/>
        </w:rPr>
        <w:t>“</w:t>
      </w:r>
      <w:r>
        <w:rPr>
          <w:rFonts w:hint="eastAsia" w:hAnsi="宋体"/>
          <w:sz w:val="18"/>
          <w:szCs w:val="18"/>
        </w:rPr>
        <w:t>W</w:t>
      </w:r>
      <w:r>
        <w:rPr>
          <w:rFonts w:hAnsi="宋体"/>
          <w:sz w:val="18"/>
          <w:szCs w:val="18"/>
        </w:rPr>
        <w:t>”</w:t>
      </w:r>
      <w:r>
        <w:rPr>
          <w:rFonts w:hint="eastAsia" w:hAnsi="宋体"/>
          <w:sz w:val="18"/>
          <w:szCs w:val="18"/>
        </w:rPr>
        <w:t>点织带卷绕长度：200 mm；</w:t>
      </w:r>
    </w:p>
    <w:p>
      <w:pPr>
        <w:pStyle w:val="232"/>
        <w:ind w:firstLine="360"/>
        <w:rPr>
          <w:rFonts w:hAnsi="宋体"/>
          <w:sz w:val="18"/>
          <w:szCs w:val="18"/>
        </w:rPr>
      </w:pPr>
      <w:r>
        <w:rPr>
          <w:rFonts w:hint="eastAsia" w:hAnsi="宋体"/>
          <w:sz w:val="18"/>
          <w:szCs w:val="18"/>
        </w:rPr>
        <w:t>11——</w:t>
      </w:r>
      <w:r>
        <w:rPr>
          <w:rFonts w:hAnsi="宋体"/>
          <w:sz w:val="18"/>
          <w:szCs w:val="18"/>
        </w:rPr>
        <w:t>“</w:t>
      </w:r>
      <w:r>
        <w:rPr>
          <w:rFonts w:hint="eastAsia" w:hAnsi="宋体"/>
          <w:sz w:val="18"/>
          <w:szCs w:val="18"/>
        </w:rPr>
        <w:t>M</w:t>
      </w:r>
      <w:r>
        <w:rPr>
          <w:rFonts w:hAnsi="宋体"/>
          <w:sz w:val="18"/>
          <w:szCs w:val="18"/>
        </w:rPr>
        <w:t>”</w:t>
      </w:r>
      <w:r>
        <w:rPr>
          <w:rFonts w:hint="eastAsia" w:hAnsi="宋体"/>
          <w:sz w:val="18"/>
          <w:szCs w:val="18"/>
        </w:rPr>
        <w:t xml:space="preserve"> 平面剖切面；</w:t>
      </w:r>
    </w:p>
    <w:p>
      <w:pPr>
        <w:pStyle w:val="232"/>
        <w:ind w:firstLine="360"/>
        <w:rPr>
          <w:rFonts w:hAnsi="宋体"/>
          <w:sz w:val="18"/>
          <w:szCs w:val="18"/>
        </w:rPr>
      </w:pPr>
      <w:r>
        <w:rPr>
          <w:rFonts w:hint="eastAsia" w:hAnsi="宋体"/>
          <w:sz w:val="18"/>
          <w:szCs w:val="18"/>
        </w:rPr>
        <w:t>12——R平面剖切面；</w:t>
      </w:r>
    </w:p>
    <w:p>
      <w:pPr>
        <w:pStyle w:val="232"/>
        <w:ind w:firstLine="360"/>
        <w:rPr>
          <w:rFonts w:hAnsi="宋体"/>
          <w:sz w:val="18"/>
          <w:szCs w:val="18"/>
        </w:rPr>
      </w:pPr>
      <w:r>
        <w:rPr>
          <w:rFonts w:hint="eastAsia" w:hAnsi="宋体"/>
          <w:sz w:val="18"/>
          <w:szCs w:val="18"/>
        </w:rPr>
        <w:t>13——该线表示在所述区域内的车辆特定底面。</w:t>
      </w:r>
    </w:p>
    <w:p>
      <w:pPr>
        <w:pStyle w:val="183"/>
      </w:pPr>
      <w:r>
        <w:rPr>
          <w:rFonts w:hint="eastAsia"/>
        </w:rPr>
        <w:t>与上固定钩连接的上拉带固定点应位于阴影区域内。</w:t>
      </w:r>
    </w:p>
    <w:p>
      <w:pPr>
        <w:pStyle w:val="243"/>
        <w:numPr>
          <w:ilvl w:val="0"/>
          <w:numId w:val="27"/>
        </w:numPr>
        <w:rPr>
          <w:rFonts w:hAnsi="宋体"/>
        </w:rPr>
      </w:pPr>
      <w:r>
        <w:rPr>
          <w:rFonts w:hAnsi="宋体"/>
        </w:rPr>
        <w:t>R</w:t>
      </w:r>
      <w:r>
        <w:rPr>
          <w:rFonts w:hint="eastAsia" w:hAnsi="宋体"/>
        </w:rPr>
        <w:t>点 ：肩部基准点。</w:t>
      </w:r>
    </w:p>
    <w:p>
      <w:pPr>
        <w:pStyle w:val="243"/>
        <w:numPr>
          <w:ilvl w:val="0"/>
          <w:numId w:val="27"/>
        </w:numPr>
        <w:rPr>
          <w:rFonts w:hAnsi="宋体"/>
        </w:rPr>
      </w:pPr>
      <w:r>
        <w:rPr>
          <w:rFonts w:hAnsi="宋体"/>
        </w:rPr>
        <w:t>“</w:t>
      </w:r>
      <w:r>
        <w:rPr>
          <w:rFonts w:hint="eastAsia" w:hAnsi="宋体"/>
        </w:rPr>
        <w:t>V</w:t>
      </w:r>
      <w:r>
        <w:rPr>
          <w:rFonts w:hAnsi="宋体"/>
        </w:rPr>
        <w:t>”</w:t>
      </w:r>
      <w:r>
        <w:rPr>
          <w:rFonts w:hint="eastAsia" w:hAnsi="宋体"/>
        </w:rPr>
        <w:t>点：V基准点，位于H点垂直上方350 mm、水平后方175 mm。</w:t>
      </w:r>
    </w:p>
    <w:p>
      <w:pPr>
        <w:pStyle w:val="243"/>
        <w:numPr>
          <w:ilvl w:val="0"/>
          <w:numId w:val="27"/>
        </w:numPr>
        <w:rPr>
          <w:rFonts w:hAnsi="宋体"/>
        </w:rPr>
      </w:pPr>
      <w:r>
        <w:rPr>
          <w:rFonts w:hAnsi="宋体"/>
        </w:rPr>
        <w:t>“</w:t>
      </w:r>
      <w:r>
        <w:rPr>
          <w:rFonts w:hint="eastAsia" w:hAnsi="宋体"/>
        </w:rPr>
        <w:t>W</w:t>
      </w:r>
      <w:r>
        <w:rPr>
          <w:rFonts w:hAnsi="宋体"/>
        </w:rPr>
        <w:t>”</w:t>
      </w:r>
      <w:r>
        <w:rPr>
          <w:rFonts w:hint="eastAsia" w:hAnsi="宋体"/>
        </w:rPr>
        <w:t>点：W基准点，位于R点垂直下方50 mm、水平后方50 mm。</w:t>
      </w:r>
    </w:p>
    <w:p>
      <w:pPr>
        <w:pStyle w:val="243"/>
        <w:numPr>
          <w:ilvl w:val="0"/>
          <w:numId w:val="27"/>
        </w:numPr>
        <w:rPr>
          <w:rFonts w:hAnsi="宋体"/>
        </w:rPr>
      </w:pPr>
      <w:r>
        <w:rPr>
          <w:rFonts w:hAnsi="宋体"/>
        </w:rPr>
        <w:t>“</w:t>
      </w:r>
      <w:r>
        <w:rPr>
          <w:rFonts w:hint="eastAsia" w:hAnsi="宋体"/>
        </w:rPr>
        <w:t>M</w:t>
      </w:r>
      <w:r>
        <w:rPr>
          <w:rFonts w:hAnsi="宋体"/>
        </w:rPr>
        <w:t>”</w:t>
      </w:r>
      <w:r>
        <w:rPr>
          <w:rFonts w:hint="eastAsia" w:hAnsi="宋体"/>
        </w:rPr>
        <w:t>平面：M基准面，位于R点水平后方1000 mm。</w:t>
      </w:r>
    </w:p>
    <w:p>
      <w:pPr>
        <w:pStyle w:val="183"/>
      </w:pPr>
      <w:r>
        <w:rPr>
          <w:rFonts w:hint="eastAsia"/>
        </w:rPr>
        <w:t>该区域最前面的表面由扫描该区域前端的两个卷绕线及其延伸而来。卷绕线代表从儿童约束系统的顶部（</w:t>
      </w:r>
      <w:r>
        <w:t>“</w:t>
      </w:r>
      <w:r>
        <w:rPr>
          <w:rFonts w:hint="eastAsia"/>
        </w:rPr>
        <w:t>W</w:t>
      </w:r>
      <w:r>
        <w:t>”</w:t>
      </w:r>
      <w:r>
        <w:rPr>
          <w:rFonts w:hint="eastAsia"/>
        </w:rPr>
        <w:t>点）和背部下段（</w:t>
      </w:r>
      <w:r>
        <w:t>“</w:t>
      </w:r>
      <w:r>
        <w:rPr>
          <w:rFonts w:hint="eastAsia"/>
        </w:rPr>
        <w:t>V</w:t>
      </w:r>
      <w:r>
        <w:t>”</w:t>
      </w:r>
      <w:r>
        <w:rPr>
          <w:rFonts w:hint="eastAsia"/>
        </w:rPr>
        <w:t>点）调整的最小长度。</w:t>
      </w:r>
    </w:p>
    <w:p>
      <w:pPr>
        <w:pStyle w:val="86"/>
        <w:numPr>
          <w:ilvl w:val="0"/>
          <w:numId w:val="0"/>
        </w:numPr>
        <w:spacing w:before="156" w:after="156"/>
      </w:pPr>
      <w:bookmarkStart w:id="474" w:name="_Ref276823605"/>
      <w:r>
        <w:t>图</w:t>
      </w:r>
      <w:r>
        <w:rPr>
          <w:rFonts w:hint="eastAsia"/>
        </w:rPr>
        <w:t>A</w:t>
      </w:r>
      <w:r>
        <w:t xml:space="preserve">.6 </w:t>
      </w:r>
      <w:r>
        <w:rPr>
          <w:rFonts w:hint="eastAsia"/>
        </w:rPr>
        <w:t>ISOFIX上拉带固定点位置，ISOFIX区域—侧视图</w:t>
      </w:r>
      <w:bookmarkEnd w:id="474"/>
    </w:p>
    <w:p>
      <w:pPr>
        <w:pStyle w:val="183"/>
        <w:numPr>
          <w:ilvl w:val="0"/>
          <w:numId w:val="0"/>
        </w:numPr>
        <w:ind w:left="363"/>
        <w:jc w:val="right"/>
      </w:pPr>
      <w:r>
        <w:rPr>
          <w:rFonts w:hint="eastAsia"/>
        </w:rPr>
        <w:t>单位为mm</w:t>
      </w:r>
    </w:p>
    <w:p>
      <w:pPr>
        <w:pStyle w:val="183"/>
        <w:numPr>
          <w:ilvl w:val="0"/>
          <w:numId w:val="0"/>
        </w:numPr>
        <w:ind w:left="363"/>
        <w:jc w:val="center"/>
      </w:pPr>
      <w:r>
        <w:drawing>
          <wp:inline distT="0" distB="0" distL="0" distR="0">
            <wp:extent cx="3556635" cy="3777615"/>
            <wp:effectExtent l="0" t="0" r="5715" b="0"/>
            <wp:docPr id="14" name="图片 14"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56635" cy="3777615"/>
                    </a:xfrm>
                    <a:prstGeom prst="rect">
                      <a:avLst/>
                    </a:prstGeom>
                    <a:noFill/>
                    <a:ln>
                      <a:noFill/>
                    </a:ln>
                  </pic:spPr>
                </pic:pic>
              </a:graphicData>
            </a:graphic>
          </wp:inline>
        </w:drawing>
      </w:r>
    </w:p>
    <w:p>
      <w:pPr>
        <w:pStyle w:val="232"/>
        <w:ind w:firstLine="360"/>
        <w:rPr>
          <w:sz w:val="18"/>
          <w:szCs w:val="18"/>
        </w:rPr>
      </w:pPr>
      <w:r>
        <w:rPr>
          <w:rFonts w:hint="eastAsia"/>
          <w:sz w:val="18"/>
          <w:szCs w:val="18"/>
        </w:rPr>
        <w:t>1——“V”点；</w:t>
      </w:r>
    </w:p>
    <w:p>
      <w:pPr>
        <w:pStyle w:val="232"/>
        <w:ind w:firstLine="360"/>
        <w:rPr>
          <w:sz w:val="18"/>
          <w:szCs w:val="18"/>
        </w:rPr>
      </w:pPr>
      <w:r>
        <w:rPr>
          <w:rFonts w:hint="eastAsia"/>
          <w:sz w:val="18"/>
          <w:szCs w:val="18"/>
        </w:rPr>
        <w:t>2——R点；</w:t>
      </w:r>
    </w:p>
    <w:p>
      <w:pPr>
        <w:pStyle w:val="232"/>
        <w:ind w:firstLine="360"/>
        <w:rPr>
          <w:sz w:val="18"/>
          <w:szCs w:val="18"/>
        </w:rPr>
      </w:pPr>
      <w:r>
        <w:rPr>
          <w:rFonts w:hint="eastAsia"/>
          <w:sz w:val="18"/>
          <w:szCs w:val="18"/>
        </w:rPr>
        <w:t>3——“W”点；</w:t>
      </w:r>
      <w:r>
        <w:rPr>
          <w:sz w:val="18"/>
          <w:szCs w:val="18"/>
        </w:rPr>
        <w:tab/>
      </w:r>
    </w:p>
    <w:p>
      <w:pPr>
        <w:pStyle w:val="232"/>
        <w:ind w:firstLine="360"/>
        <w:rPr>
          <w:sz w:val="18"/>
          <w:szCs w:val="18"/>
        </w:rPr>
      </w:pPr>
      <w:r>
        <w:rPr>
          <w:rFonts w:hint="eastAsia"/>
          <w:sz w:val="18"/>
          <w:szCs w:val="18"/>
        </w:rPr>
        <w:t>4——从“V”点织带卷绕长度：250 mm；</w:t>
      </w:r>
    </w:p>
    <w:p>
      <w:pPr>
        <w:pStyle w:val="232"/>
        <w:ind w:firstLine="360"/>
        <w:rPr>
          <w:sz w:val="18"/>
          <w:szCs w:val="18"/>
        </w:rPr>
      </w:pPr>
      <w:r>
        <w:rPr>
          <w:rFonts w:hint="eastAsia"/>
          <w:sz w:val="18"/>
          <w:szCs w:val="18"/>
        </w:rPr>
        <w:t>5——垂直纵向平面；</w:t>
      </w:r>
    </w:p>
    <w:p>
      <w:pPr>
        <w:pStyle w:val="232"/>
        <w:ind w:firstLine="360"/>
        <w:rPr>
          <w:sz w:val="18"/>
          <w:szCs w:val="18"/>
        </w:rPr>
      </w:pPr>
      <w:r>
        <w:rPr>
          <w:rFonts w:hint="eastAsia"/>
          <w:sz w:val="18"/>
          <w:szCs w:val="18"/>
        </w:rPr>
        <w:t>6——从“W”点织带卷绕长度：200 mm；</w:t>
      </w:r>
    </w:p>
    <w:p>
      <w:pPr>
        <w:pStyle w:val="232"/>
        <w:ind w:firstLine="360"/>
        <w:rPr>
          <w:sz w:val="18"/>
          <w:szCs w:val="18"/>
        </w:rPr>
      </w:pPr>
      <w:r>
        <w:rPr>
          <w:rFonts w:hint="eastAsia"/>
          <w:sz w:val="18"/>
          <w:szCs w:val="18"/>
        </w:rPr>
        <w:t>7——由卷绕长度构成的圆弧；</w:t>
      </w:r>
    </w:p>
    <w:p>
      <w:pPr>
        <w:pStyle w:val="232"/>
        <w:ind w:firstLine="360"/>
        <w:rPr>
          <w:sz w:val="18"/>
          <w:szCs w:val="18"/>
        </w:rPr>
      </w:pPr>
      <w:r>
        <w:rPr>
          <w:rFonts w:hint="eastAsia"/>
          <w:sz w:val="18"/>
          <w:szCs w:val="18"/>
        </w:rPr>
        <w:t>8——H点。</w:t>
      </w:r>
    </w:p>
    <w:p>
      <w:pPr>
        <w:pStyle w:val="183"/>
        <w:numPr>
          <w:ilvl w:val="0"/>
          <w:numId w:val="53"/>
        </w:numPr>
      </w:pPr>
      <w:r>
        <w:rPr>
          <w:rFonts w:hint="eastAsia"/>
        </w:rPr>
        <w:t>与上固定钩连接的上拉带固定点应位于阴影区域内。</w:t>
      </w:r>
    </w:p>
    <w:p>
      <w:pPr>
        <w:pStyle w:val="183"/>
      </w:pPr>
      <w:r>
        <w:rPr>
          <w:rFonts w:hint="eastAsia"/>
        </w:rPr>
        <w:t>R点：肩部基准点。</w:t>
      </w:r>
    </w:p>
    <w:p>
      <w:pPr>
        <w:pStyle w:val="183"/>
      </w:pPr>
      <w:r>
        <w:rPr>
          <w:rFonts w:hint="eastAsia"/>
        </w:rPr>
        <w:t>“V”点：V基准点，位于H点垂直上方350 mm、水平后方175 mm。</w:t>
      </w:r>
    </w:p>
    <w:p>
      <w:pPr>
        <w:pStyle w:val="183"/>
      </w:pPr>
      <w:r>
        <w:rPr>
          <w:rFonts w:hint="eastAsia"/>
        </w:rPr>
        <w:t>“W”点：W基准点，位于R点垂直下方50 mm、水平后方50 mm。</w:t>
      </w:r>
    </w:p>
    <w:p>
      <w:pPr>
        <w:pStyle w:val="183"/>
      </w:pPr>
      <w:r>
        <w:rPr>
          <w:rFonts w:hint="eastAsia"/>
        </w:rPr>
        <w:t>“M”平面：M基准平面，位于R点水平后方1000 mm。</w:t>
      </w:r>
    </w:p>
    <w:p>
      <w:pPr>
        <w:pStyle w:val="183"/>
      </w:pPr>
      <w:r>
        <w:rPr>
          <w:rFonts w:hint="eastAsia"/>
        </w:rPr>
        <w:t>该区域最前表面由该区域前端的两个卷绕线及其延伸而来。卷绕线代表从儿童约束系统的顶部（“W”点）和背部下段（“V”点）调整的最小长度。</w:t>
      </w:r>
    </w:p>
    <w:p>
      <w:pPr>
        <w:pStyle w:val="86"/>
        <w:numPr>
          <w:ilvl w:val="0"/>
          <w:numId w:val="0"/>
        </w:numPr>
        <w:spacing w:before="156" w:after="156"/>
      </w:pPr>
      <w:r>
        <w:rPr>
          <w:rFonts w:hint="eastAsia"/>
        </w:rPr>
        <w:t>图A</w:t>
      </w:r>
      <w:r>
        <w:t>.7</w:t>
      </w:r>
      <w:r>
        <w:rPr>
          <w:rFonts w:hint="eastAsia"/>
        </w:rPr>
        <w:t>ISOFIX上拉带固定点位置，ISOFIX区域—卷绕区域放大侧视图</w:t>
      </w:r>
    </w:p>
    <w:p>
      <w:pPr>
        <w:widowControl/>
        <w:adjustRightInd/>
        <w:spacing w:line="240" w:lineRule="auto"/>
        <w:jc w:val="left"/>
        <w:rPr>
          <w:rFonts w:ascii="宋体" w:hAnsi="Times New Roman"/>
          <w:kern w:val="0"/>
          <w:sz w:val="18"/>
          <w:szCs w:val="18"/>
        </w:rPr>
      </w:pPr>
      <w:r>
        <w:br w:type="page"/>
      </w:r>
    </w:p>
    <w:p>
      <w:pPr>
        <w:pStyle w:val="183"/>
        <w:numPr>
          <w:ilvl w:val="0"/>
          <w:numId w:val="0"/>
        </w:numPr>
        <w:ind w:left="363"/>
        <w:jc w:val="right"/>
      </w:pPr>
      <w:r>
        <w:rPr>
          <w:rFonts w:hint="eastAsia"/>
        </w:rPr>
        <w:t>单位为mm</w:t>
      </w:r>
    </w:p>
    <w:p>
      <w:pPr>
        <w:pStyle w:val="183"/>
        <w:numPr>
          <w:ilvl w:val="0"/>
          <w:numId w:val="0"/>
        </w:numPr>
        <w:ind w:left="363"/>
      </w:pPr>
      <w:r>
        <w:rPr>
          <w:rFonts w:hint="eastAsia"/>
        </w:rPr>
        <w:drawing>
          <wp:inline distT="0" distB="0" distL="0" distR="0">
            <wp:extent cx="4344670" cy="3726815"/>
            <wp:effectExtent l="0" t="0" r="0" b="0"/>
            <wp:docPr id="15" name="图片 15"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44670" cy="3726815"/>
                    </a:xfrm>
                    <a:prstGeom prst="rect">
                      <a:avLst/>
                    </a:prstGeom>
                    <a:noFill/>
                    <a:ln>
                      <a:noFill/>
                    </a:ln>
                  </pic:spPr>
                </pic:pic>
              </a:graphicData>
            </a:graphic>
          </wp:inline>
        </w:drawing>
      </w:r>
    </w:p>
    <w:p>
      <w:pPr>
        <w:pStyle w:val="232"/>
        <w:ind w:firstLine="360"/>
        <w:rPr>
          <w:rFonts w:hAnsi="宋体"/>
          <w:sz w:val="18"/>
          <w:szCs w:val="18"/>
        </w:rPr>
      </w:pPr>
      <w:r>
        <w:rPr>
          <w:rFonts w:hint="eastAsia" w:hAnsi="宋体"/>
          <w:sz w:val="18"/>
          <w:szCs w:val="18"/>
        </w:rPr>
        <w:t>1——中分面；</w:t>
      </w:r>
    </w:p>
    <w:p>
      <w:pPr>
        <w:pStyle w:val="232"/>
        <w:ind w:firstLine="360"/>
        <w:rPr>
          <w:rFonts w:hAnsi="宋体"/>
          <w:sz w:val="18"/>
          <w:szCs w:val="18"/>
        </w:rPr>
      </w:pPr>
      <w:r>
        <w:rPr>
          <w:rFonts w:hint="eastAsia" w:hAnsi="宋体"/>
          <w:sz w:val="18"/>
          <w:szCs w:val="18"/>
        </w:rPr>
        <w:t>2——</w:t>
      </w:r>
      <w:r>
        <w:rPr>
          <w:rFonts w:hAnsi="宋体"/>
          <w:sz w:val="18"/>
          <w:szCs w:val="18"/>
        </w:rPr>
        <w:t>“</w:t>
      </w:r>
      <w:r>
        <w:rPr>
          <w:rFonts w:hint="eastAsia" w:hAnsi="宋体"/>
          <w:sz w:val="18"/>
          <w:szCs w:val="18"/>
        </w:rPr>
        <w:t>V</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3——</w:t>
      </w:r>
      <w:r>
        <w:rPr>
          <w:rFonts w:hAnsi="宋体"/>
          <w:sz w:val="18"/>
          <w:szCs w:val="18"/>
        </w:rPr>
        <w:t>R</w:t>
      </w:r>
      <w:r>
        <w:rPr>
          <w:rFonts w:hint="eastAsia" w:hAnsi="宋体"/>
          <w:sz w:val="18"/>
          <w:szCs w:val="18"/>
        </w:rPr>
        <w:t>点；</w:t>
      </w:r>
    </w:p>
    <w:p>
      <w:pPr>
        <w:pStyle w:val="232"/>
        <w:ind w:firstLine="360"/>
        <w:rPr>
          <w:rFonts w:hAnsi="宋体"/>
          <w:sz w:val="18"/>
          <w:szCs w:val="18"/>
        </w:rPr>
      </w:pPr>
      <w:r>
        <w:rPr>
          <w:rFonts w:hint="eastAsia" w:hAnsi="宋体"/>
          <w:sz w:val="18"/>
          <w:szCs w:val="18"/>
        </w:rPr>
        <w:t>4——</w:t>
      </w:r>
      <w:r>
        <w:rPr>
          <w:rFonts w:hAnsi="宋体"/>
          <w:sz w:val="18"/>
          <w:szCs w:val="18"/>
        </w:rPr>
        <w:t>“</w:t>
      </w:r>
      <w:r>
        <w:rPr>
          <w:rFonts w:hint="eastAsia" w:hAnsi="宋体"/>
          <w:sz w:val="18"/>
          <w:szCs w:val="18"/>
        </w:rPr>
        <w:t>W</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5——垂直纵向平面。</w:t>
      </w:r>
    </w:p>
    <w:p>
      <w:pPr>
        <w:pStyle w:val="243"/>
        <w:numPr>
          <w:ilvl w:val="0"/>
          <w:numId w:val="54"/>
        </w:numPr>
      </w:pPr>
      <w:r>
        <w:rPr>
          <w:rFonts w:hint="eastAsia"/>
        </w:rPr>
        <w:t>与上固定钩连接的上拉带固定点应位于阴影区域内。</w:t>
      </w:r>
    </w:p>
    <w:p>
      <w:pPr>
        <w:pStyle w:val="243"/>
        <w:numPr>
          <w:ilvl w:val="0"/>
          <w:numId w:val="27"/>
        </w:numPr>
      </w:pPr>
      <w:r>
        <w:t>R</w:t>
      </w:r>
      <w:r>
        <w:rPr>
          <w:rFonts w:hint="eastAsia"/>
        </w:rPr>
        <w:t>点：肩部基准点。</w:t>
      </w:r>
    </w:p>
    <w:p>
      <w:pPr>
        <w:pStyle w:val="243"/>
        <w:numPr>
          <w:ilvl w:val="0"/>
          <w:numId w:val="27"/>
        </w:numPr>
      </w:pPr>
      <w:r>
        <w:t>“</w:t>
      </w:r>
      <w:r>
        <w:rPr>
          <w:rFonts w:hint="eastAsia"/>
        </w:rPr>
        <w:t>V</w:t>
      </w:r>
      <w:r>
        <w:t>”</w:t>
      </w:r>
      <w:r>
        <w:rPr>
          <w:rFonts w:hint="eastAsia"/>
        </w:rPr>
        <w:t>点：V基准点，位于H点垂直上方350 mm、水平后方175 mm。</w:t>
      </w:r>
    </w:p>
    <w:p>
      <w:pPr>
        <w:pStyle w:val="183"/>
      </w:pPr>
      <w:r>
        <w:t>“</w:t>
      </w:r>
      <w:r>
        <w:rPr>
          <w:rFonts w:hint="eastAsia"/>
        </w:rPr>
        <w:t>W</w:t>
      </w:r>
      <w:r>
        <w:t>”</w:t>
      </w:r>
      <w:r>
        <w:rPr>
          <w:rFonts w:hint="eastAsia"/>
        </w:rPr>
        <w:t>点：W基准点，位于R点垂直下方50 mm、水平后方50 mm。</w:t>
      </w:r>
    </w:p>
    <w:p>
      <w:pPr>
        <w:pStyle w:val="86"/>
        <w:numPr>
          <w:ilvl w:val="0"/>
          <w:numId w:val="0"/>
        </w:numPr>
        <w:spacing w:before="156" w:after="156"/>
      </w:pPr>
      <w:r>
        <w:t>图</w:t>
      </w:r>
      <w:r>
        <w:rPr>
          <w:rFonts w:hint="eastAsia"/>
        </w:rPr>
        <w:t>A</w:t>
      </w:r>
      <w:r>
        <w:t xml:space="preserve">.8 </w:t>
      </w:r>
      <w:r>
        <w:rPr>
          <w:rFonts w:hint="eastAsia"/>
        </w:rPr>
        <w:t>ISOFIX上拉带固定点位置，ISOFIX区域—平面视图（R平面横截面）</w:t>
      </w:r>
    </w:p>
    <w:p>
      <w:pPr>
        <w:widowControl/>
        <w:adjustRightInd/>
        <w:spacing w:line="240" w:lineRule="auto"/>
        <w:jc w:val="left"/>
        <w:rPr>
          <w:rFonts w:ascii="宋体" w:hAnsi="Times New Roman"/>
          <w:kern w:val="0"/>
          <w:szCs w:val="20"/>
        </w:rPr>
      </w:pPr>
      <w:r>
        <w:br w:type="page"/>
      </w:r>
    </w:p>
    <w:p>
      <w:pPr>
        <w:pStyle w:val="59"/>
        <w:ind w:firstLine="0" w:firstLineChars="0"/>
        <w:jc w:val="center"/>
      </w:pPr>
      <w:r>
        <w:rPr>
          <w:rFonts w:hAnsi="宋体"/>
          <w:szCs w:val="21"/>
        </w:rPr>
        <w:drawing>
          <wp:inline distT="0" distB="0" distL="0" distR="0">
            <wp:extent cx="2251075" cy="4105275"/>
            <wp:effectExtent l="0" t="0" r="0" b="9525"/>
            <wp:docPr id="16" name="图片 16"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51075" cy="4105275"/>
                    </a:xfrm>
                    <a:prstGeom prst="rect">
                      <a:avLst/>
                    </a:prstGeom>
                    <a:noFill/>
                    <a:ln>
                      <a:noFill/>
                    </a:ln>
                  </pic:spPr>
                </pic:pic>
              </a:graphicData>
            </a:graphic>
          </wp:inline>
        </w:drawing>
      </w:r>
    </w:p>
    <w:p>
      <w:pPr>
        <w:pStyle w:val="232"/>
        <w:ind w:firstLine="360"/>
        <w:rPr>
          <w:rFonts w:hAnsi="宋体"/>
          <w:sz w:val="18"/>
          <w:szCs w:val="18"/>
        </w:rPr>
      </w:pPr>
      <w:r>
        <w:rPr>
          <w:rFonts w:hint="eastAsia" w:hAnsi="宋体"/>
          <w:sz w:val="18"/>
          <w:szCs w:val="18"/>
        </w:rPr>
        <w:t>1——</w:t>
      </w:r>
      <w:r>
        <w:rPr>
          <w:rFonts w:hAnsi="宋体"/>
          <w:sz w:val="18"/>
          <w:szCs w:val="18"/>
        </w:rPr>
        <w:t>“</w:t>
      </w:r>
      <w:r>
        <w:rPr>
          <w:rFonts w:hint="eastAsia" w:hAnsi="宋体"/>
          <w:sz w:val="18"/>
          <w:szCs w:val="18"/>
        </w:rPr>
        <w:t>V</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2——</w:t>
      </w:r>
      <w:r>
        <w:rPr>
          <w:rFonts w:hAnsi="宋体"/>
          <w:sz w:val="18"/>
          <w:szCs w:val="18"/>
        </w:rPr>
        <w:t>“</w:t>
      </w:r>
      <w:r>
        <w:rPr>
          <w:rFonts w:hint="eastAsia" w:hAnsi="宋体"/>
          <w:sz w:val="18"/>
          <w:szCs w:val="18"/>
        </w:rPr>
        <w:t>W</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3——</w:t>
      </w:r>
      <w:r>
        <w:rPr>
          <w:rFonts w:hAnsi="宋体"/>
          <w:sz w:val="18"/>
          <w:szCs w:val="18"/>
        </w:rPr>
        <w:t>R</w:t>
      </w:r>
      <w:r>
        <w:rPr>
          <w:rFonts w:hint="eastAsia" w:hAnsi="宋体"/>
          <w:sz w:val="18"/>
          <w:szCs w:val="18"/>
        </w:rPr>
        <w:t>点；</w:t>
      </w:r>
    </w:p>
    <w:p>
      <w:pPr>
        <w:pStyle w:val="232"/>
        <w:ind w:firstLine="360"/>
        <w:rPr>
          <w:rFonts w:hAnsi="宋体"/>
          <w:sz w:val="18"/>
          <w:szCs w:val="18"/>
        </w:rPr>
      </w:pPr>
      <w:r>
        <w:rPr>
          <w:rFonts w:hint="eastAsia" w:hAnsi="宋体"/>
          <w:sz w:val="18"/>
          <w:szCs w:val="18"/>
        </w:rPr>
        <w:t>4——中分面；</w:t>
      </w:r>
    </w:p>
    <w:p>
      <w:pPr>
        <w:pStyle w:val="232"/>
        <w:ind w:firstLine="360"/>
        <w:rPr>
          <w:rFonts w:hAnsi="宋体"/>
          <w:sz w:val="18"/>
          <w:szCs w:val="18"/>
        </w:rPr>
      </w:pPr>
      <w:r>
        <w:rPr>
          <w:rFonts w:hint="eastAsia" w:hAnsi="宋体"/>
          <w:sz w:val="18"/>
          <w:szCs w:val="18"/>
        </w:rPr>
        <w:t>5——沿着躯干基准面的区域视图。</w:t>
      </w:r>
    </w:p>
    <w:p>
      <w:pPr>
        <w:pStyle w:val="183"/>
        <w:numPr>
          <w:ilvl w:val="0"/>
          <w:numId w:val="55"/>
        </w:numPr>
      </w:pPr>
      <w:r>
        <w:rPr>
          <w:rFonts w:hint="eastAsia"/>
        </w:rPr>
        <w:t>与上固定钩连接的上拉带固定点应位于阴影区域内。</w:t>
      </w:r>
    </w:p>
    <w:p>
      <w:pPr>
        <w:pStyle w:val="243"/>
        <w:numPr>
          <w:ilvl w:val="0"/>
          <w:numId w:val="27"/>
        </w:numPr>
      </w:pPr>
      <w:r>
        <w:t>R</w:t>
      </w:r>
      <w:r>
        <w:rPr>
          <w:rFonts w:hint="eastAsia"/>
        </w:rPr>
        <w:t>点：肩部基准点。</w:t>
      </w:r>
    </w:p>
    <w:p>
      <w:pPr>
        <w:pStyle w:val="243"/>
        <w:numPr>
          <w:ilvl w:val="0"/>
          <w:numId w:val="27"/>
        </w:numPr>
      </w:pPr>
      <w:r>
        <w:t>“</w:t>
      </w:r>
      <w:r>
        <w:rPr>
          <w:rFonts w:hint="eastAsia"/>
        </w:rPr>
        <w:t>V</w:t>
      </w:r>
      <w:r>
        <w:t>”</w:t>
      </w:r>
      <w:r>
        <w:rPr>
          <w:rFonts w:hint="eastAsia"/>
        </w:rPr>
        <w:t>点：V基准点，位于H点垂直上方350 mm、水平后方175 mm。</w:t>
      </w:r>
    </w:p>
    <w:p>
      <w:pPr>
        <w:pStyle w:val="183"/>
      </w:pPr>
      <w:r>
        <w:t>“</w:t>
      </w:r>
      <w:r>
        <w:rPr>
          <w:rFonts w:hint="eastAsia"/>
        </w:rPr>
        <w:t>W</w:t>
      </w:r>
      <w:r>
        <w:t>”</w:t>
      </w:r>
      <w:r>
        <w:rPr>
          <w:rFonts w:hint="eastAsia"/>
        </w:rPr>
        <w:t>点：W基准点，位于R点垂直下方50 mm、水平后方50 mm。</w:t>
      </w:r>
    </w:p>
    <w:p>
      <w:pPr>
        <w:pStyle w:val="86"/>
        <w:numPr>
          <w:ilvl w:val="0"/>
          <w:numId w:val="0"/>
        </w:numPr>
        <w:spacing w:before="156" w:after="156"/>
      </w:pPr>
      <w:r>
        <w:t>图</w:t>
      </w:r>
      <w:r>
        <w:rPr>
          <w:rFonts w:hint="eastAsia"/>
        </w:rPr>
        <w:t>A</w:t>
      </w:r>
      <w:r>
        <w:t xml:space="preserve">.9 </w:t>
      </w:r>
      <w:r>
        <w:rPr>
          <w:rFonts w:hint="eastAsia"/>
        </w:rPr>
        <w:t>ISOFIX上拉带固定点位置，ISOFIX区域—前视图</w:t>
      </w:r>
    </w:p>
    <w:p>
      <w:pPr>
        <w:widowControl/>
        <w:adjustRightInd/>
        <w:spacing w:line="240" w:lineRule="auto"/>
        <w:jc w:val="left"/>
        <w:rPr>
          <w:rFonts w:ascii="宋体" w:hAnsi="Times New Roman"/>
          <w:kern w:val="0"/>
          <w:szCs w:val="20"/>
        </w:rPr>
      </w:pPr>
      <w:r>
        <w:br w:type="page"/>
      </w:r>
    </w:p>
    <w:p>
      <w:pPr>
        <w:pStyle w:val="59"/>
        <w:ind w:firstLine="420"/>
      </w:pPr>
      <w:r>
        <w:rPr>
          <w:rFonts w:hAnsi="宋体"/>
          <w:szCs w:val="21"/>
        </w:rPr>
        <w:drawing>
          <wp:inline distT="0" distB="0" distL="0" distR="0">
            <wp:extent cx="3495675" cy="4819650"/>
            <wp:effectExtent l="0" t="0" r="9525" b="0"/>
            <wp:docPr id="17" name="图片 17"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95675" cy="4819650"/>
                    </a:xfrm>
                    <a:prstGeom prst="rect">
                      <a:avLst/>
                    </a:prstGeom>
                    <a:noFill/>
                    <a:ln>
                      <a:noFill/>
                    </a:ln>
                  </pic:spPr>
                </pic:pic>
              </a:graphicData>
            </a:graphic>
          </wp:inline>
        </w:drawing>
      </w:r>
    </w:p>
    <w:p>
      <w:pPr>
        <w:pStyle w:val="232"/>
        <w:ind w:firstLine="360"/>
        <w:rPr>
          <w:rFonts w:hAnsi="宋体"/>
          <w:sz w:val="18"/>
          <w:szCs w:val="18"/>
        </w:rPr>
      </w:pPr>
      <w:r>
        <w:rPr>
          <w:rFonts w:hint="eastAsia" w:hAnsi="宋体"/>
          <w:sz w:val="18"/>
          <w:szCs w:val="18"/>
        </w:rPr>
        <w:t>1——H点；</w:t>
      </w:r>
    </w:p>
    <w:p>
      <w:pPr>
        <w:pStyle w:val="232"/>
        <w:ind w:firstLine="360"/>
        <w:rPr>
          <w:rFonts w:hAnsi="宋体"/>
          <w:sz w:val="18"/>
          <w:szCs w:val="18"/>
        </w:rPr>
      </w:pPr>
      <w:r>
        <w:rPr>
          <w:rFonts w:hint="eastAsia" w:hAnsi="宋体"/>
          <w:sz w:val="18"/>
          <w:szCs w:val="18"/>
        </w:rPr>
        <w:t>2——</w:t>
      </w:r>
      <w:r>
        <w:rPr>
          <w:rFonts w:hAnsi="宋体"/>
          <w:sz w:val="18"/>
          <w:szCs w:val="18"/>
        </w:rPr>
        <w:t>“</w:t>
      </w:r>
      <w:r>
        <w:rPr>
          <w:rFonts w:hint="eastAsia" w:hAnsi="宋体"/>
          <w:sz w:val="18"/>
          <w:szCs w:val="18"/>
        </w:rPr>
        <w:t>V</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3——</w:t>
      </w:r>
      <w:r>
        <w:rPr>
          <w:rFonts w:hAnsi="宋体"/>
          <w:sz w:val="18"/>
          <w:szCs w:val="18"/>
        </w:rPr>
        <w:t>“</w:t>
      </w:r>
      <w:r>
        <w:rPr>
          <w:rFonts w:hint="eastAsia" w:hAnsi="宋体"/>
          <w:sz w:val="18"/>
          <w:szCs w:val="18"/>
        </w:rPr>
        <w:t>W</w:t>
      </w:r>
      <w:r>
        <w:rPr>
          <w:rFonts w:hAnsi="宋体"/>
          <w:sz w:val="18"/>
          <w:szCs w:val="18"/>
        </w:rPr>
        <w:t>”</w:t>
      </w:r>
      <w:r>
        <w:rPr>
          <w:rFonts w:hint="eastAsia" w:hAnsi="宋体"/>
          <w:sz w:val="18"/>
          <w:szCs w:val="18"/>
        </w:rPr>
        <w:t>点；</w:t>
      </w:r>
    </w:p>
    <w:p>
      <w:pPr>
        <w:pStyle w:val="232"/>
        <w:ind w:firstLine="360"/>
        <w:rPr>
          <w:rFonts w:hAnsi="宋体"/>
          <w:sz w:val="18"/>
          <w:szCs w:val="18"/>
        </w:rPr>
      </w:pPr>
      <w:r>
        <w:rPr>
          <w:rFonts w:hint="eastAsia" w:hAnsi="宋体"/>
          <w:sz w:val="18"/>
          <w:szCs w:val="18"/>
        </w:rPr>
        <w:t>4——</w:t>
      </w:r>
      <w:r>
        <w:rPr>
          <w:rFonts w:hAnsi="宋体"/>
          <w:sz w:val="18"/>
          <w:szCs w:val="18"/>
        </w:rPr>
        <w:t>R</w:t>
      </w:r>
      <w:r>
        <w:rPr>
          <w:rFonts w:hint="eastAsia" w:hAnsi="宋体"/>
          <w:sz w:val="18"/>
          <w:szCs w:val="18"/>
        </w:rPr>
        <w:t>点；</w:t>
      </w:r>
    </w:p>
    <w:p>
      <w:pPr>
        <w:pStyle w:val="232"/>
        <w:ind w:firstLine="360"/>
        <w:rPr>
          <w:rFonts w:hAnsi="宋体"/>
          <w:sz w:val="18"/>
          <w:szCs w:val="18"/>
        </w:rPr>
      </w:pPr>
      <w:r>
        <w:rPr>
          <w:rFonts w:hint="eastAsia" w:hAnsi="宋体"/>
          <w:sz w:val="18"/>
          <w:szCs w:val="18"/>
        </w:rPr>
        <w:t>5——45</w:t>
      </w:r>
      <w:r>
        <w:rPr>
          <w:rFonts w:ascii="Times New Roman"/>
          <w:sz w:val="18"/>
          <w:szCs w:val="18"/>
        </w:rPr>
        <w:t>˚</w:t>
      </w:r>
      <w:r>
        <w:rPr>
          <w:rFonts w:hint="eastAsia" w:hAnsi="宋体"/>
          <w:sz w:val="18"/>
          <w:szCs w:val="18"/>
        </w:rPr>
        <w:t>平面；</w:t>
      </w:r>
    </w:p>
    <w:p>
      <w:pPr>
        <w:pStyle w:val="232"/>
        <w:ind w:firstLine="360"/>
        <w:rPr>
          <w:rFonts w:hAnsi="宋体"/>
          <w:sz w:val="18"/>
          <w:szCs w:val="18"/>
        </w:rPr>
      </w:pPr>
      <w:r>
        <w:rPr>
          <w:rFonts w:hint="eastAsia" w:hAnsi="宋体"/>
          <w:sz w:val="18"/>
          <w:szCs w:val="18"/>
        </w:rPr>
        <w:t>6——</w:t>
      </w:r>
      <w:r>
        <w:rPr>
          <w:rFonts w:hAnsi="宋体"/>
          <w:sz w:val="18"/>
          <w:szCs w:val="18"/>
        </w:rPr>
        <w:t>R</w:t>
      </w:r>
      <w:r>
        <w:rPr>
          <w:rFonts w:hint="eastAsia" w:hAnsi="宋体"/>
          <w:sz w:val="18"/>
          <w:szCs w:val="18"/>
        </w:rPr>
        <w:t>平面剖切面；</w:t>
      </w:r>
    </w:p>
    <w:p>
      <w:pPr>
        <w:pStyle w:val="232"/>
        <w:ind w:firstLine="360"/>
        <w:rPr>
          <w:rFonts w:hAnsi="宋体"/>
          <w:sz w:val="18"/>
          <w:szCs w:val="18"/>
        </w:rPr>
      </w:pPr>
      <w:r>
        <w:rPr>
          <w:rFonts w:hint="eastAsia" w:hAnsi="宋体"/>
          <w:sz w:val="18"/>
          <w:szCs w:val="18"/>
        </w:rPr>
        <w:t>7——底板表面；</w:t>
      </w:r>
    </w:p>
    <w:p>
      <w:pPr>
        <w:pStyle w:val="232"/>
        <w:ind w:firstLine="360"/>
        <w:rPr>
          <w:rFonts w:hAnsi="宋体"/>
          <w:sz w:val="18"/>
          <w:szCs w:val="18"/>
        </w:rPr>
      </w:pPr>
      <w:r>
        <w:rPr>
          <w:rFonts w:hint="eastAsia" w:hAnsi="宋体"/>
          <w:sz w:val="18"/>
          <w:szCs w:val="18"/>
        </w:rPr>
        <w:t>8——区域前边界。</w:t>
      </w:r>
    </w:p>
    <w:p>
      <w:pPr>
        <w:pStyle w:val="183"/>
        <w:numPr>
          <w:ilvl w:val="0"/>
          <w:numId w:val="56"/>
        </w:numPr>
      </w:pPr>
      <w:r>
        <w:rPr>
          <w:rFonts w:hint="eastAsia"/>
        </w:rPr>
        <w:t>与上固定钩连接的上拉带固定点应位于阴影区域内。</w:t>
      </w:r>
    </w:p>
    <w:p>
      <w:pPr>
        <w:pStyle w:val="183"/>
      </w:pPr>
      <w:r>
        <w:t>R</w:t>
      </w:r>
      <w:r>
        <w:rPr>
          <w:rFonts w:hint="eastAsia"/>
        </w:rPr>
        <w:t>点：肩部基准点。</w:t>
      </w:r>
    </w:p>
    <w:p>
      <w:pPr>
        <w:pStyle w:val="86"/>
        <w:numPr>
          <w:ilvl w:val="0"/>
          <w:numId w:val="0"/>
        </w:numPr>
        <w:spacing w:before="156" w:after="156"/>
      </w:pPr>
      <w:bookmarkStart w:id="475" w:name="_Ref276823619"/>
      <w:r>
        <w:t>图</w:t>
      </w:r>
      <w:r>
        <w:rPr>
          <w:rFonts w:hint="eastAsia"/>
        </w:rPr>
        <w:t>A</w:t>
      </w:r>
      <w:r>
        <w:t xml:space="preserve">.10 </w:t>
      </w:r>
      <w:r>
        <w:rPr>
          <w:rFonts w:hint="eastAsia"/>
        </w:rPr>
        <w:t>ISOFIX上拉带固定点位置，ISOFIX区域—三维示意图</w:t>
      </w:r>
      <w:bookmarkEnd w:id="475"/>
    </w:p>
    <w:p>
      <w:pPr>
        <w:pStyle w:val="86"/>
        <w:numPr>
          <w:ilvl w:val="0"/>
          <w:numId w:val="0"/>
        </w:numPr>
        <w:spacing w:before="156" w:after="156"/>
        <w:jc w:val="both"/>
      </w:pPr>
    </w:p>
    <w:p>
      <w:pPr>
        <w:pStyle w:val="59"/>
        <w:ind w:firstLine="420"/>
      </w:pPr>
    </w:p>
    <w:p>
      <w:pPr>
        <w:pStyle w:val="59"/>
        <w:ind w:firstLine="420"/>
      </w:pPr>
    </w:p>
    <w:p>
      <w:pPr>
        <w:pStyle w:val="59"/>
        <w:ind w:firstLine="420"/>
      </w:pPr>
    </w:p>
    <w:p>
      <w:pPr>
        <w:pStyle w:val="86"/>
        <w:numPr>
          <w:ilvl w:val="0"/>
          <w:numId w:val="0"/>
        </w:numPr>
        <w:spacing w:before="156" w:after="156"/>
        <w:rPr>
          <w:rFonts w:ascii="宋体"/>
          <w:sz w:val="18"/>
          <w:szCs w:val="18"/>
        </w:rPr>
      </w:pPr>
    </w:p>
    <w:p>
      <w:pPr>
        <w:pStyle w:val="183"/>
        <w:numPr>
          <w:ilvl w:val="0"/>
          <w:numId w:val="0"/>
        </w:numPr>
        <w:ind w:left="363"/>
        <w:jc w:val="right"/>
      </w:pPr>
      <w:r>
        <w:rPr>
          <w:rFonts w:hint="eastAsia"/>
        </w:rPr>
        <w:t>单位为mm</w:t>
      </w:r>
    </w:p>
    <w:p>
      <w:pPr>
        <w:pStyle w:val="183"/>
        <w:numPr>
          <w:ilvl w:val="0"/>
          <w:numId w:val="0"/>
        </w:numPr>
        <w:ind w:left="363"/>
        <w:jc w:val="center"/>
      </w:pPr>
      <w:r>
        <w:drawing>
          <wp:inline distT="0" distB="0" distL="0" distR="0">
            <wp:extent cx="5366385" cy="5719445"/>
            <wp:effectExtent l="0" t="0" r="0" b="0"/>
            <wp:docPr id="18" name="图片 18"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66385" cy="5719445"/>
                    </a:xfrm>
                    <a:prstGeom prst="rect">
                      <a:avLst/>
                    </a:prstGeom>
                    <a:noFill/>
                    <a:ln>
                      <a:noFill/>
                    </a:ln>
                  </pic:spPr>
                </pic:pic>
              </a:graphicData>
            </a:graphic>
          </wp:inline>
        </w:drawing>
      </w:r>
    </w:p>
    <w:p>
      <w:pPr>
        <w:pStyle w:val="232"/>
        <w:ind w:firstLine="360"/>
        <w:rPr>
          <w:sz w:val="18"/>
          <w:szCs w:val="18"/>
        </w:rPr>
      </w:pPr>
      <w:r>
        <w:rPr>
          <w:rFonts w:hint="eastAsia"/>
          <w:sz w:val="18"/>
          <w:szCs w:val="18"/>
        </w:rPr>
        <w:t>1——固定模块ISO/F2 (B)的水平表面；</w:t>
      </w:r>
    </w:p>
    <w:p>
      <w:pPr>
        <w:pStyle w:val="232"/>
        <w:ind w:firstLine="360"/>
        <w:rPr>
          <w:sz w:val="18"/>
          <w:szCs w:val="18"/>
        </w:rPr>
      </w:pPr>
      <w:r>
        <w:rPr>
          <w:rFonts w:hint="eastAsia"/>
          <w:sz w:val="18"/>
          <w:szCs w:val="18"/>
        </w:rPr>
        <w:t>2——固定模块ISO/F2 (B)的后部表面；</w:t>
      </w:r>
    </w:p>
    <w:p>
      <w:pPr>
        <w:pStyle w:val="232"/>
        <w:ind w:firstLine="360"/>
        <w:rPr>
          <w:sz w:val="18"/>
          <w:szCs w:val="18"/>
        </w:rPr>
      </w:pPr>
      <w:r>
        <w:rPr>
          <w:rFonts w:hint="eastAsia"/>
          <w:sz w:val="18"/>
          <w:szCs w:val="18"/>
        </w:rPr>
        <w:t>3——与座椅靠背顶部（邵尔A硬度超过50的最后刚性点）相切的水平线；</w:t>
      </w:r>
    </w:p>
    <w:p>
      <w:pPr>
        <w:pStyle w:val="232"/>
        <w:ind w:firstLine="360"/>
        <w:rPr>
          <w:sz w:val="18"/>
          <w:szCs w:val="18"/>
        </w:rPr>
      </w:pPr>
      <w:r>
        <w:rPr>
          <w:rFonts w:hint="eastAsia"/>
          <w:sz w:val="18"/>
          <w:szCs w:val="18"/>
        </w:rPr>
        <w:t>4——2与3交点；</w:t>
      </w:r>
    </w:p>
    <w:p>
      <w:pPr>
        <w:pStyle w:val="232"/>
        <w:ind w:firstLine="360"/>
        <w:rPr>
          <w:sz w:val="18"/>
          <w:szCs w:val="18"/>
        </w:rPr>
      </w:pPr>
      <w:r>
        <w:rPr>
          <w:rFonts w:hint="eastAsia"/>
          <w:sz w:val="18"/>
          <w:szCs w:val="18"/>
        </w:rPr>
        <w:t>5——织带基准点；</w:t>
      </w:r>
    </w:p>
    <w:p>
      <w:pPr>
        <w:pStyle w:val="232"/>
        <w:ind w:firstLine="360"/>
        <w:rPr>
          <w:sz w:val="18"/>
          <w:szCs w:val="18"/>
        </w:rPr>
      </w:pPr>
      <w:r>
        <w:rPr>
          <w:rFonts w:hint="eastAsia"/>
          <w:sz w:val="18"/>
          <w:szCs w:val="18"/>
        </w:rPr>
        <w:t>6——固定模块ISO/F2 (B)的中心线；</w:t>
      </w:r>
    </w:p>
    <w:p>
      <w:pPr>
        <w:pStyle w:val="232"/>
        <w:ind w:firstLine="360"/>
        <w:rPr>
          <w:sz w:val="18"/>
          <w:szCs w:val="18"/>
        </w:rPr>
      </w:pPr>
      <w:r>
        <w:rPr>
          <w:rFonts w:hint="eastAsia"/>
          <w:sz w:val="18"/>
          <w:szCs w:val="18"/>
        </w:rPr>
        <w:t>7——上拉带织带；</w:t>
      </w:r>
    </w:p>
    <w:p>
      <w:pPr>
        <w:pStyle w:val="183"/>
        <w:numPr>
          <w:ilvl w:val="1"/>
          <w:numId w:val="51"/>
        </w:numPr>
        <w:jc w:val="left"/>
      </w:pPr>
      <w:r>
        <w:rPr>
          <w:rFonts w:hint="eastAsia"/>
        </w:rPr>
        <w:t>—固定点区域。</w:t>
      </w:r>
    </w:p>
    <w:p>
      <w:pPr>
        <w:pStyle w:val="86"/>
        <w:numPr>
          <w:ilvl w:val="0"/>
          <w:numId w:val="0"/>
        </w:numPr>
        <w:spacing w:before="156" w:after="156"/>
      </w:pPr>
      <w:bookmarkStart w:id="476" w:name="_Ref276823651"/>
      <w:r>
        <w:t>图</w:t>
      </w:r>
      <w:r>
        <w:rPr>
          <w:rFonts w:hint="eastAsia"/>
        </w:rPr>
        <w:t>A</w:t>
      </w:r>
      <w:r>
        <w:t xml:space="preserve">.11 </w:t>
      </w:r>
      <w:r>
        <w:rPr>
          <w:rFonts w:hint="eastAsia"/>
        </w:rPr>
        <w:t>利用固定模块 ISO/F2(B)确定ISOFIX上拉带固定点位置的替代方法，ISOFIX区域—侧视图、俯视图、后视图</w:t>
      </w:r>
      <w:bookmarkEnd w:id="476"/>
    </w:p>
    <w:p>
      <w:pPr>
        <w:widowControl/>
        <w:adjustRightInd/>
        <w:spacing w:line="240" w:lineRule="auto"/>
        <w:jc w:val="center"/>
      </w:pPr>
      <w:r>
        <w:br w:type="page"/>
      </w:r>
      <w:r>
        <w:rPr>
          <w:rFonts w:hint="eastAsia"/>
        </w:rPr>
        <w:drawing>
          <wp:inline distT="0" distB="0" distL="0" distR="0">
            <wp:extent cx="1973580" cy="1273810"/>
            <wp:effectExtent l="0" t="0" r="7620" b="2540"/>
            <wp:docPr id="19" name="图片 19"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73580" cy="1273810"/>
                    </a:xfrm>
                    <a:prstGeom prst="rect">
                      <a:avLst/>
                    </a:prstGeom>
                    <a:noFill/>
                    <a:ln>
                      <a:noFill/>
                    </a:ln>
                  </pic:spPr>
                </pic:pic>
              </a:graphicData>
            </a:graphic>
          </wp:inline>
        </w:drawing>
      </w:r>
    </w:p>
    <w:p>
      <w:pPr>
        <w:pStyle w:val="183"/>
        <w:numPr>
          <w:ilvl w:val="0"/>
          <w:numId w:val="57"/>
        </w:numPr>
      </w:pPr>
      <w:r>
        <w:rPr>
          <w:rFonts w:hint="eastAsia"/>
        </w:rPr>
        <w:t>此图为示意图；</w:t>
      </w:r>
    </w:p>
    <w:p>
      <w:pPr>
        <w:pStyle w:val="243"/>
        <w:numPr>
          <w:ilvl w:val="0"/>
          <w:numId w:val="27"/>
        </w:numPr>
      </w:pPr>
      <w:r>
        <w:rPr>
          <w:rFonts w:hint="eastAsia"/>
        </w:rPr>
        <w:t>标志也可镜象表示 ；</w:t>
      </w:r>
    </w:p>
    <w:p>
      <w:pPr>
        <w:pStyle w:val="183"/>
      </w:pPr>
      <w:r>
        <w:rPr>
          <w:rFonts w:hint="eastAsia"/>
        </w:rPr>
        <w:t>标志的颜色由制造商选择。</w:t>
      </w:r>
    </w:p>
    <w:p>
      <w:pPr>
        <w:pStyle w:val="86"/>
        <w:numPr>
          <w:ilvl w:val="0"/>
          <w:numId w:val="0"/>
        </w:numPr>
        <w:spacing w:before="156" w:after="156"/>
      </w:pPr>
      <w:bookmarkStart w:id="477" w:name="_Ref276823392"/>
      <w:r>
        <w:t>图</w:t>
      </w:r>
      <w:r>
        <w:rPr>
          <w:rFonts w:hint="eastAsia"/>
        </w:rPr>
        <w:t>A</w:t>
      </w:r>
      <w:r>
        <w:t xml:space="preserve">.12 </w:t>
      </w:r>
      <w:r>
        <w:rPr>
          <w:rFonts w:hint="eastAsia"/>
        </w:rPr>
        <w:t>ISOFIX 下固定点标志</w:t>
      </w:r>
      <w:bookmarkEnd w:id="477"/>
    </w:p>
    <w:p>
      <w:pPr>
        <w:pStyle w:val="183"/>
        <w:numPr>
          <w:ilvl w:val="0"/>
          <w:numId w:val="0"/>
        </w:numPr>
        <w:ind w:left="363"/>
        <w:jc w:val="center"/>
      </w:pPr>
      <w:r>
        <w:rPr>
          <w:rFonts w:hAnsi="宋体"/>
          <w:szCs w:val="21"/>
        </w:rPr>
        <w:drawing>
          <wp:inline distT="0" distB="0" distL="0" distR="0">
            <wp:extent cx="2118995" cy="2409190"/>
            <wp:effectExtent l="0" t="0" r="0" b="0"/>
            <wp:docPr id="20" name="图片 20" descr="图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18995" cy="2409190"/>
                    </a:xfrm>
                    <a:prstGeom prst="rect">
                      <a:avLst/>
                    </a:prstGeom>
                    <a:noFill/>
                    <a:ln>
                      <a:noFill/>
                    </a:ln>
                  </pic:spPr>
                </pic:pic>
              </a:graphicData>
            </a:graphic>
          </wp:inline>
        </w:drawing>
      </w:r>
    </w:p>
    <w:p>
      <w:pPr>
        <w:pStyle w:val="183"/>
        <w:numPr>
          <w:ilvl w:val="0"/>
          <w:numId w:val="58"/>
        </w:numPr>
      </w:pPr>
      <w:r>
        <w:rPr>
          <w:rFonts w:hint="eastAsia"/>
        </w:rPr>
        <w:t>此图为示意图。</w:t>
      </w:r>
    </w:p>
    <w:p>
      <w:pPr>
        <w:pStyle w:val="183"/>
      </w:pPr>
      <w:r>
        <w:rPr>
          <w:rFonts w:hint="eastAsia"/>
        </w:rPr>
        <w:t>标志应明显可见，或通过颜色对比，或有足够的凸起（模压或蚀刻）。</w:t>
      </w:r>
    </w:p>
    <w:p>
      <w:pPr>
        <w:pStyle w:val="86"/>
        <w:numPr>
          <w:ilvl w:val="0"/>
          <w:numId w:val="0"/>
        </w:numPr>
        <w:spacing w:before="156" w:after="156"/>
      </w:pPr>
      <w:bookmarkStart w:id="478" w:name="_Ref276823803"/>
      <w:r>
        <w:t>图</w:t>
      </w:r>
      <w:r>
        <w:rPr>
          <w:rFonts w:hint="eastAsia"/>
        </w:rPr>
        <w:t>A</w:t>
      </w:r>
      <w:r>
        <w:t xml:space="preserve">.13 </w:t>
      </w:r>
      <w:r>
        <w:rPr>
          <w:rFonts w:hint="eastAsia"/>
        </w:rPr>
        <w:t>用于识别盖子覆盖的上拉带固定点位置的标志</w:t>
      </w:r>
      <w:bookmarkEnd w:id="478"/>
    </w:p>
    <w:p>
      <w:pPr>
        <w:widowControl/>
        <w:adjustRightInd/>
        <w:spacing w:line="240" w:lineRule="auto"/>
        <w:jc w:val="left"/>
        <w:rPr>
          <w:rFonts w:ascii="宋体" w:hAnsi="Times New Roman"/>
          <w:kern w:val="0"/>
          <w:szCs w:val="20"/>
        </w:rPr>
      </w:pPr>
      <w:r>
        <w:br w:type="page"/>
      </w:r>
    </w:p>
    <w:p>
      <w:pPr>
        <w:pStyle w:val="201"/>
        <w:rPr>
          <w:vanish w:val="0"/>
        </w:rPr>
      </w:pPr>
    </w:p>
    <w:p>
      <w:pPr>
        <w:pStyle w:val="202"/>
        <w:rPr>
          <w:vanish w:val="0"/>
        </w:rPr>
      </w:pPr>
    </w:p>
    <w:p>
      <w:pPr>
        <w:pStyle w:val="202"/>
        <w:rPr>
          <w:vanish w:val="0"/>
        </w:rPr>
      </w:pPr>
    </w:p>
    <w:p>
      <w:pPr>
        <w:pStyle w:val="79"/>
        <w:spacing w:before="78" w:after="156"/>
      </w:pPr>
      <w:r>
        <w:br w:type="textWrapping"/>
      </w:r>
      <w:bookmarkStart w:id="479" w:name="_Toc96705340"/>
      <w:bookmarkStart w:id="480" w:name="_Toc78142687"/>
      <w:r>
        <w:rPr>
          <w:rFonts w:hint="eastAsia"/>
        </w:rPr>
        <w:t>（规范性）</w:t>
      </w:r>
      <w:r>
        <w:br w:type="textWrapping"/>
      </w:r>
      <w:r>
        <w:rPr>
          <w:rFonts w:hint="eastAsia"/>
        </w:rPr>
        <w:t>固定点最低数量和下固定点位置</w:t>
      </w:r>
      <w:bookmarkEnd w:id="479"/>
      <w:bookmarkEnd w:id="480"/>
    </w:p>
    <w:p>
      <w:pPr>
        <w:pStyle w:val="80"/>
        <w:numPr>
          <w:ilvl w:val="0"/>
          <w:numId w:val="0"/>
        </w:numPr>
        <w:spacing w:before="156" w:after="156"/>
      </w:pPr>
      <w:bookmarkStart w:id="481" w:name="_Ref277576995"/>
      <w:r>
        <w:rPr>
          <w:rFonts w:hint="eastAsia"/>
        </w:rPr>
        <w:t>图</w:t>
      </w:r>
      <w:r>
        <w:t xml:space="preserve">B.1 </w:t>
      </w:r>
      <w:r>
        <w:rPr>
          <w:rFonts w:hint="eastAsia"/>
        </w:rPr>
        <w:t>固定点最低数量</w:t>
      </w:r>
      <w:bookmarkEnd w:id="481"/>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34"/>
        <w:gridCol w:w="1286"/>
        <w:gridCol w:w="1286"/>
        <w:gridCol w:w="1286"/>
        <w:gridCol w:w="1286"/>
        <w:gridCol w:w="877"/>
        <w:gridCol w:w="8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vMerge w:val="restart"/>
            <w:tcBorders>
              <w:top w:val="single" w:color="auto" w:sz="8" w:space="0"/>
            </w:tcBorders>
            <w:shd w:val="clear" w:color="auto" w:fill="auto"/>
            <w:vAlign w:val="center"/>
          </w:tcPr>
          <w:p>
            <w:pPr>
              <w:jc w:val="center"/>
              <w:rPr>
                <w:rFonts w:ascii="宋体"/>
                <w:sz w:val="18"/>
              </w:rPr>
            </w:pPr>
            <w:r>
              <w:rPr>
                <w:rFonts w:hint="eastAsia" w:ascii="宋体"/>
                <w:sz w:val="18"/>
              </w:rPr>
              <w:t>车辆种类</w:t>
            </w:r>
          </w:p>
        </w:tc>
        <w:tc>
          <w:tcPr>
            <w:tcW w:w="5144" w:type="dxa"/>
            <w:gridSpan w:val="4"/>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前向乘坐位置</w:t>
            </w:r>
          </w:p>
        </w:tc>
        <w:tc>
          <w:tcPr>
            <w:tcW w:w="877" w:type="dxa"/>
            <w:vMerge w:val="restart"/>
            <w:tcBorders>
              <w:top w:val="single" w:color="auto" w:sz="8" w:space="0"/>
            </w:tcBorders>
            <w:shd w:val="clear" w:color="auto" w:fill="auto"/>
            <w:vAlign w:val="center"/>
          </w:tcPr>
          <w:p>
            <w:pPr>
              <w:jc w:val="center"/>
              <w:rPr>
                <w:rFonts w:ascii="宋体"/>
                <w:sz w:val="18"/>
              </w:rPr>
            </w:pPr>
            <w:r>
              <w:rPr>
                <w:rFonts w:hint="eastAsia" w:ascii="宋体"/>
                <w:sz w:val="18"/>
              </w:rPr>
              <w:t>后向</w:t>
            </w:r>
          </w:p>
        </w:tc>
        <w:tc>
          <w:tcPr>
            <w:tcW w:w="815" w:type="dxa"/>
            <w:vMerge w:val="restart"/>
            <w:tcBorders>
              <w:top w:val="single" w:color="auto" w:sz="8" w:space="0"/>
            </w:tcBorders>
            <w:shd w:val="clear" w:color="auto" w:fill="auto"/>
            <w:vAlign w:val="center"/>
          </w:tcPr>
          <w:p>
            <w:pPr>
              <w:jc w:val="center"/>
              <w:rPr>
                <w:rFonts w:ascii="宋体"/>
                <w:sz w:val="18"/>
              </w:rPr>
            </w:pPr>
            <w:r>
              <w:rPr>
                <w:rFonts w:hint="eastAsia" w:ascii="宋体"/>
                <w:sz w:val="18"/>
              </w:rPr>
              <w:t>侧向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vMerge w:val="continue"/>
            <w:shd w:val="clear" w:color="auto" w:fill="auto"/>
            <w:vAlign w:val="center"/>
          </w:tcPr>
          <w:p>
            <w:pPr>
              <w:jc w:val="center"/>
              <w:rPr>
                <w:rFonts w:ascii="宋体"/>
                <w:sz w:val="18"/>
              </w:rPr>
            </w:pPr>
          </w:p>
        </w:tc>
        <w:tc>
          <w:tcPr>
            <w:tcW w:w="2572" w:type="dxa"/>
            <w:gridSpan w:val="2"/>
            <w:tcBorders>
              <w:top w:val="single" w:color="auto" w:sz="4" w:space="0"/>
              <w:bottom w:val="single" w:color="auto" w:sz="4" w:space="0"/>
            </w:tcBorders>
            <w:shd w:val="clear" w:color="auto" w:fill="auto"/>
            <w:vAlign w:val="center"/>
          </w:tcPr>
          <w:p>
            <w:pPr>
              <w:jc w:val="center"/>
              <w:rPr>
                <w:rFonts w:ascii="宋体"/>
                <w:sz w:val="18"/>
              </w:rPr>
            </w:pPr>
            <w:r>
              <w:rPr>
                <w:rFonts w:hint="eastAsia" w:ascii="宋体"/>
                <w:sz w:val="18"/>
              </w:rPr>
              <w:t>外侧座椅位置</w:t>
            </w:r>
          </w:p>
        </w:tc>
        <w:tc>
          <w:tcPr>
            <w:tcW w:w="2572" w:type="dxa"/>
            <w:gridSpan w:val="2"/>
            <w:tcBorders>
              <w:top w:val="single" w:color="auto" w:sz="4" w:space="0"/>
              <w:bottom w:val="single" w:color="auto" w:sz="4" w:space="0"/>
            </w:tcBorders>
            <w:shd w:val="clear" w:color="auto" w:fill="auto"/>
            <w:vAlign w:val="center"/>
          </w:tcPr>
          <w:p>
            <w:pPr>
              <w:jc w:val="center"/>
              <w:rPr>
                <w:rFonts w:ascii="宋体"/>
                <w:sz w:val="18"/>
              </w:rPr>
            </w:pPr>
            <w:r>
              <w:rPr>
                <w:rFonts w:hint="eastAsia" w:ascii="宋体"/>
                <w:sz w:val="18"/>
              </w:rPr>
              <w:t>中间座椅位置</w:t>
            </w:r>
          </w:p>
        </w:tc>
        <w:tc>
          <w:tcPr>
            <w:tcW w:w="877" w:type="dxa"/>
            <w:vMerge w:val="continue"/>
            <w:shd w:val="clear" w:color="auto" w:fill="auto"/>
            <w:vAlign w:val="center"/>
          </w:tcPr>
          <w:p>
            <w:pPr>
              <w:jc w:val="center"/>
              <w:rPr>
                <w:rFonts w:ascii="宋体"/>
                <w:sz w:val="18"/>
              </w:rPr>
            </w:pPr>
          </w:p>
        </w:tc>
        <w:tc>
          <w:tcPr>
            <w:tcW w:w="815" w:type="dxa"/>
            <w:vMerge w:val="continue"/>
            <w:shd w:val="clear" w:color="auto" w:fill="auto"/>
            <w:vAlign w:val="center"/>
          </w:tcPr>
          <w:p>
            <w:pPr>
              <w:jc w:val="center"/>
              <w:rPr>
                <w:rFonts w:ascii="宋体"/>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vMerge w:val="continue"/>
            <w:tcBorders>
              <w:bottom w:val="single" w:color="auto" w:sz="8" w:space="0"/>
            </w:tcBorders>
            <w:shd w:val="clear" w:color="auto" w:fill="auto"/>
            <w:vAlign w:val="center"/>
          </w:tcPr>
          <w:p>
            <w:pPr>
              <w:jc w:val="center"/>
              <w:rPr>
                <w:rFonts w:ascii="宋体"/>
                <w:sz w:val="18"/>
              </w:rPr>
            </w:pPr>
          </w:p>
        </w:tc>
        <w:tc>
          <w:tcPr>
            <w:tcW w:w="1286" w:type="dxa"/>
            <w:tcBorders>
              <w:top w:val="single" w:color="auto" w:sz="4" w:space="0"/>
              <w:bottom w:val="single" w:color="auto" w:sz="8" w:space="0"/>
            </w:tcBorders>
            <w:shd w:val="clear" w:color="auto" w:fill="auto"/>
            <w:vAlign w:val="center"/>
          </w:tcPr>
          <w:p>
            <w:pPr>
              <w:jc w:val="center"/>
              <w:rPr>
                <w:rFonts w:ascii="宋体"/>
                <w:sz w:val="18"/>
              </w:rPr>
            </w:pPr>
            <w:r>
              <w:rPr>
                <w:rFonts w:hint="eastAsia" w:ascii="宋体"/>
                <w:sz w:val="18"/>
              </w:rPr>
              <w:t>前排</w:t>
            </w:r>
          </w:p>
        </w:tc>
        <w:tc>
          <w:tcPr>
            <w:tcW w:w="1286" w:type="dxa"/>
            <w:tcBorders>
              <w:top w:val="single" w:color="auto" w:sz="4" w:space="0"/>
              <w:bottom w:val="single" w:color="auto" w:sz="8" w:space="0"/>
            </w:tcBorders>
            <w:shd w:val="clear" w:color="auto" w:fill="auto"/>
            <w:vAlign w:val="center"/>
          </w:tcPr>
          <w:p>
            <w:pPr>
              <w:jc w:val="center"/>
              <w:rPr>
                <w:rFonts w:ascii="宋体"/>
                <w:sz w:val="18"/>
              </w:rPr>
            </w:pPr>
            <w:r>
              <w:rPr>
                <w:rFonts w:hint="eastAsia" w:ascii="宋体"/>
                <w:sz w:val="18"/>
              </w:rPr>
              <w:t>非前排</w:t>
            </w:r>
          </w:p>
        </w:tc>
        <w:tc>
          <w:tcPr>
            <w:tcW w:w="1286" w:type="dxa"/>
            <w:tcBorders>
              <w:top w:val="single" w:color="auto" w:sz="4" w:space="0"/>
              <w:bottom w:val="single" w:color="auto" w:sz="8" w:space="0"/>
            </w:tcBorders>
            <w:shd w:val="clear" w:color="auto" w:fill="auto"/>
            <w:vAlign w:val="center"/>
          </w:tcPr>
          <w:p>
            <w:pPr>
              <w:jc w:val="center"/>
              <w:rPr>
                <w:rFonts w:ascii="宋体"/>
                <w:sz w:val="18"/>
              </w:rPr>
            </w:pPr>
            <w:r>
              <w:rPr>
                <w:rFonts w:hint="eastAsia" w:ascii="宋体"/>
                <w:sz w:val="18"/>
              </w:rPr>
              <w:t>前排</w:t>
            </w:r>
          </w:p>
        </w:tc>
        <w:tc>
          <w:tcPr>
            <w:tcW w:w="1286" w:type="dxa"/>
            <w:tcBorders>
              <w:top w:val="single" w:color="auto" w:sz="4" w:space="0"/>
              <w:bottom w:val="single" w:color="auto" w:sz="8" w:space="0"/>
            </w:tcBorders>
            <w:shd w:val="clear" w:color="auto" w:fill="auto"/>
            <w:vAlign w:val="center"/>
          </w:tcPr>
          <w:p>
            <w:pPr>
              <w:jc w:val="center"/>
              <w:rPr>
                <w:rFonts w:ascii="宋体"/>
                <w:sz w:val="18"/>
              </w:rPr>
            </w:pPr>
            <w:r>
              <w:rPr>
                <w:rFonts w:hint="eastAsia" w:ascii="宋体"/>
                <w:sz w:val="18"/>
              </w:rPr>
              <w:t>非前排</w:t>
            </w:r>
          </w:p>
        </w:tc>
        <w:tc>
          <w:tcPr>
            <w:tcW w:w="877" w:type="dxa"/>
            <w:vMerge w:val="continue"/>
            <w:tcBorders>
              <w:bottom w:val="single" w:color="auto" w:sz="8" w:space="0"/>
            </w:tcBorders>
            <w:shd w:val="clear" w:color="auto" w:fill="auto"/>
            <w:vAlign w:val="center"/>
          </w:tcPr>
          <w:p>
            <w:pPr>
              <w:jc w:val="center"/>
              <w:rPr>
                <w:rFonts w:ascii="宋体"/>
                <w:sz w:val="18"/>
              </w:rPr>
            </w:pPr>
          </w:p>
        </w:tc>
        <w:tc>
          <w:tcPr>
            <w:tcW w:w="815" w:type="dxa"/>
            <w:vMerge w:val="continue"/>
            <w:tcBorders>
              <w:bottom w:val="single" w:color="auto" w:sz="8" w:space="0"/>
            </w:tcBorders>
            <w:shd w:val="clear" w:color="auto" w:fill="auto"/>
            <w:vAlign w:val="center"/>
          </w:tcPr>
          <w:p>
            <w:pPr>
              <w:jc w:val="center"/>
              <w:rPr>
                <w:rFonts w:ascii="宋体"/>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M</w:t>
            </w:r>
            <w:r>
              <w:rPr>
                <w:rFonts w:hint="eastAsia" w:ascii="宋体"/>
                <w:sz w:val="18"/>
                <w:vertAlign w:val="subscript"/>
              </w:rPr>
              <w:t>1</w:t>
            </w:r>
          </w:p>
        </w:tc>
        <w:tc>
          <w:tcPr>
            <w:tcW w:w="1286"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3</w:t>
            </w:r>
          </w:p>
        </w:tc>
        <w:tc>
          <w:tcPr>
            <w:tcW w:w="877"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2</w:t>
            </w:r>
          </w:p>
        </w:tc>
        <w:tc>
          <w:tcPr>
            <w:tcW w:w="815" w:type="dxa"/>
            <w:tcBorders>
              <w:top w:val="single" w:color="auto" w:sz="8" w:space="0"/>
              <w:bottom w:val="single" w:color="auto" w:sz="4" w:space="0"/>
            </w:tcBorders>
            <w:shd w:val="clear" w:color="auto" w:fill="auto"/>
            <w:vAlign w:val="center"/>
          </w:tcPr>
          <w:p>
            <w:pPr>
              <w:jc w:val="center"/>
              <w:rPr>
                <w:rFonts w:ascii="宋体"/>
                <w:sz w:val="18"/>
              </w:rPr>
            </w:pPr>
            <w:r>
              <w:rPr>
                <w:rFonts w:hint="eastAsia" w:asci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auto" w:sz="4" w:space="0"/>
            </w:tcBorders>
            <w:shd w:val="clear" w:color="auto" w:fill="auto"/>
            <w:vAlign w:val="center"/>
          </w:tcPr>
          <w:p>
            <w:pPr>
              <w:jc w:val="center"/>
              <w:rPr>
                <w:rFonts w:ascii="宋体" w:hAnsi="宋体"/>
                <w:sz w:val="18"/>
              </w:rPr>
            </w:pPr>
            <w:r>
              <w:rPr>
                <w:rFonts w:hint="eastAsia" w:ascii="宋体"/>
                <w:sz w:val="18"/>
              </w:rPr>
              <w:t>M</w:t>
            </w:r>
            <w:r>
              <w:rPr>
                <w:rFonts w:hint="eastAsia" w:ascii="宋体"/>
                <w:sz w:val="18"/>
                <w:vertAlign w:val="subscript"/>
              </w:rPr>
              <w:t>2</w:t>
            </w:r>
            <w:r>
              <w:rPr>
                <w:rFonts w:hint="eastAsia" w:ascii="宋体"/>
                <w:sz w:val="18"/>
              </w:rPr>
              <w:t>（GVM</w:t>
            </w:r>
            <w:r>
              <w:rPr>
                <w:rFonts w:hint="eastAsia" w:ascii="宋体"/>
                <w:sz w:val="18"/>
              </w:rPr>
              <w:sym w:font="Symbol" w:char="F0A3"/>
            </w:r>
            <w:r>
              <w:rPr>
                <w:rFonts w:hint="eastAsia" w:ascii="宋体"/>
                <w:sz w:val="18"/>
              </w:rPr>
              <w:t>3.5t）</w:t>
            </w:r>
          </w:p>
        </w:tc>
        <w:tc>
          <w:tcPr>
            <w:tcW w:w="1286" w:type="dxa"/>
            <w:tcBorders>
              <w:top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4" w:space="0"/>
            </w:tcBorders>
            <w:shd w:val="clear" w:color="auto" w:fill="auto"/>
            <w:vAlign w:val="center"/>
          </w:tcPr>
          <w:p>
            <w:pPr>
              <w:jc w:val="center"/>
              <w:rPr>
                <w:rFonts w:ascii="宋体"/>
                <w:sz w:val="18"/>
              </w:rPr>
            </w:pPr>
            <w:r>
              <w:rPr>
                <w:rFonts w:hint="eastAsia" w:ascii="宋体"/>
                <w:sz w:val="18"/>
              </w:rPr>
              <w:t>3</w:t>
            </w:r>
          </w:p>
        </w:tc>
        <w:tc>
          <w:tcPr>
            <w:tcW w:w="1286" w:type="dxa"/>
            <w:tcBorders>
              <w:top w:val="single" w:color="auto" w:sz="4" w:space="0"/>
            </w:tcBorders>
            <w:shd w:val="clear" w:color="auto" w:fill="auto"/>
            <w:vAlign w:val="center"/>
          </w:tcPr>
          <w:p>
            <w:pPr>
              <w:jc w:val="center"/>
              <w:rPr>
                <w:rFonts w:ascii="宋体"/>
                <w:sz w:val="18"/>
              </w:rPr>
            </w:pPr>
            <w:r>
              <w:rPr>
                <w:rFonts w:hint="eastAsia" w:ascii="宋体"/>
                <w:sz w:val="18"/>
              </w:rPr>
              <w:t>3</w:t>
            </w:r>
          </w:p>
        </w:tc>
        <w:tc>
          <w:tcPr>
            <w:tcW w:w="877" w:type="dxa"/>
            <w:tcBorders>
              <w:top w:val="single" w:color="auto" w:sz="4" w:space="0"/>
            </w:tcBorders>
            <w:shd w:val="clear" w:color="auto" w:fill="auto"/>
            <w:vAlign w:val="center"/>
          </w:tcPr>
          <w:p>
            <w:pPr>
              <w:jc w:val="center"/>
              <w:rPr>
                <w:rFonts w:ascii="宋体"/>
                <w:sz w:val="18"/>
              </w:rPr>
            </w:pPr>
            <w:r>
              <w:rPr>
                <w:rFonts w:hint="eastAsia" w:ascii="宋体"/>
                <w:sz w:val="18"/>
              </w:rPr>
              <w:t>2</w:t>
            </w:r>
          </w:p>
        </w:tc>
        <w:tc>
          <w:tcPr>
            <w:tcW w:w="815" w:type="dxa"/>
            <w:tcBorders>
              <w:top w:val="single" w:color="auto" w:sz="4" w:space="0"/>
            </w:tcBorders>
            <w:shd w:val="clear" w:color="auto" w:fill="auto"/>
            <w:vAlign w:val="center"/>
          </w:tcPr>
          <w:p>
            <w:pPr>
              <w:jc w:val="center"/>
              <w:rPr>
                <w:rFonts w:ascii="宋体"/>
                <w:sz w:val="18"/>
              </w:rPr>
            </w:pPr>
            <w:r>
              <w:rPr>
                <w:rFonts w:hint="eastAsia" w:asci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shd w:val="clear" w:color="auto" w:fill="auto"/>
            <w:vAlign w:val="center"/>
          </w:tcPr>
          <w:p>
            <w:pPr>
              <w:jc w:val="center"/>
              <w:rPr>
                <w:rFonts w:ascii="宋体"/>
                <w:sz w:val="18"/>
              </w:rPr>
            </w:pPr>
            <w:r>
              <w:rPr>
                <w:rFonts w:hint="eastAsia" w:ascii="宋体"/>
                <w:sz w:val="18"/>
              </w:rPr>
              <w:t>M</w:t>
            </w:r>
            <w:r>
              <w:rPr>
                <w:rFonts w:hint="eastAsia" w:ascii="宋体"/>
                <w:sz w:val="18"/>
                <w:vertAlign w:val="subscript"/>
              </w:rPr>
              <w:t>2</w:t>
            </w:r>
            <w:r>
              <w:rPr>
                <w:rFonts w:hint="eastAsia" w:ascii="宋体"/>
                <w:sz w:val="18"/>
              </w:rPr>
              <w:t>(GVM</w:t>
            </w:r>
            <w:r>
              <w:rPr>
                <w:rFonts w:hint="eastAsia" w:ascii="宋体"/>
                <w:sz w:val="18"/>
              </w:rPr>
              <w:sym w:font="Symbol" w:char="F03E"/>
            </w:r>
            <w:r>
              <w:rPr>
                <w:rFonts w:hint="eastAsia" w:ascii="宋体"/>
                <w:sz w:val="18"/>
              </w:rPr>
              <w:t>3.5t)</w:t>
            </w:r>
          </w:p>
        </w:tc>
        <w:tc>
          <w:tcPr>
            <w:tcW w:w="1286" w:type="dxa"/>
            <w:shd w:val="clear" w:color="auto" w:fill="auto"/>
          </w:tcPr>
          <w:p>
            <w:pPr>
              <w:jc w:val="center"/>
              <w:rPr>
                <w:rFonts w:ascii="宋体" w:hAnsi="宋体"/>
                <w:sz w:val="18"/>
              </w:rPr>
            </w:pPr>
            <w:r>
              <w:rPr>
                <w:rFonts w:hint="eastAsia" w:ascii="宋体" w:hAnsi="宋体"/>
                <w:sz w:val="18"/>
              </w:rPr>
              <w:t>3</w:t>
            </w:r>
            <w:r>
              <w:rPr>
                <w:rFonts w:hint="eastAsia" w:ascii="宋体" w:hAnsi="宋体"/>
                <w:sz w:val="18"/>
                <w:vertAlign w:val="superscript"/>
              </w:rPr>
              <w:t>d</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877" w:type="dxa"/>
            <w:shd w:val="clear" w:color="auto" w:fill="auto"/>
          </w:tcPr>
          <w:p>
            <w:pPr>
              <w:jc w:val="center"/>
              <w:rPr>
                <w:rFonts w:ascii="宋体" w:hAnsi="宋体"/>
                <w:sz w:val="18"/>
              </w:rPr>
            </w:pPr>
            <w:r>
              <w:rPr>
                <w:rFonts w:hint="eastAsia" w:ascii="宋体" w:hAnsi="宋体"/>
                <w:sz w:val="18"/>
              </w:rPr>
              <w:t>2</w:t>
            </w:r>
          </w:p>
        </w:tc>
        <w:tc>
          <w:tcPr>
            <w:tcW w:w="815" w:type="dxa"/>
            <w:shd w:val="clear" w:color="auto" w:fill="auto"/>
          </w:tcPr>
          <w:p>
            <w:pPr>
              <w:jc w:val="center"/>
              <w:rPr>
                <w:rFonts w:ascii="宋体" w:hAnsi="宋体"/>
                <w:sz w:val="18"/>
              </w:rPr>
            </w:pPr>
            <w:r>
              <w:rPr>
                <w:rFonts w:hint="eastAsia" w:ascii="宋体" w:hAns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shd w:val="clear" w:color="auto" w:fill="auto"/>
            <w:vAlign w:val="center"/>
          </w:tcPr>
          <w:p>
            <w:pPr>
              <w:jc w:val="center"/>
              <w:rPr>
                <w:rFonts w:ascii="宋体"/>
                <w:sz w:val="18"/>
              </w:rPr>
            </w:pPr>
            <w:r>
              <w:rPr>
                <w:rFonts w:hint="eastAsia" w:ascii="宋体"/>
                <w:sz w:val="18"/>
              </w:rPr>
              <w:t xml:space="preserve"> M</w:t>
            </w:r>
            <w:r>
              <w:rPr>
                <w:rFonts w:hint="eastAsia" w:ascii="宋体"/>
                <w:sz w:val="18"/>
                <w:vertAlign w:val="subscript"/>
              </w:rPr>
              <w:t>3</w:t>
            </w:r>
          </w:p>
        </w:tc>
        <w:tc>
          <w:tcPr>
            <w:tcW w:w="1286" w:type="dxa"/>
            <w:shd w:val="clear" w:color="auto" w:fill="auto"/>
          </w:tcPr>
          <w:p>
            <w:pPr>
              <w:jc w:val="center"/>
              <w:rPr>
                <w:rFonts w:ascii="宋体" w:hAnsi="宋体"/>
                <w:sz w:val="18"/>
              </w:rPr>
            </w:pPr>
            <w:r>
              <w:rPr>
                <w:rFonts w:hint="eastAsia" w:ascii="宋体" w:hAnsi="宋体"/>
                <w:sz w:val="18"/>
              </w:rPr>
              <w:t>3</w:t>
            </w:r>
            <w:r>
              <w:rPr>
                <w:rFonts w:hint="eastAsia" w:ascii="宋体" w:hAnsi="宋体"/>
                <w:sz w:val="18"/>
                <w:vertAlign w:val="superscript"/>
              </w:rPr>
              <w:t>d</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1286" w:type="dxa"/>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c</w:t>
            </w:r>
          </w:p>
        </w:tc>
        <w:tc>
          <w:tcPr>
            <w:tcW w:w="877" w:type="dxa"/>
            <w:shd w:val="clear" w:color="auto" w:fill="auto"/>
          </w:tcPr>
          <w:p>
            <w:pPr>
              <w:jc w:val="center"/>
              <w:rPr>
                <w:rFonts w:ascii="宋体" w:hAnsi="宋体"/>
                <w:sz w:val="18"/>
              </w:rPr>
            </w:pPr>
            <w:r>
              <w:rPr>
                <w:rFonts w:hint="eastAsia" w:ascii="宋体" w:hAnsi="宋体"/>
                <w:sz w:val="18"/>
              </w:rPr>
              <w:t>2</w:t>
            </w:r>
          </w:p>
        </w:tc>
        <w:tc>
          <w:tcPr>
            <w:tcW w:w="815" w:type="dxa"/>
            <w:shd w:val="clear" w:color="auto" w:fill="auto"/>
          </w:tcPr>
          <w:p>
            <w:pPr>
              <w:jc w:val="center"/>
              <w:rPr>
                <w:rFonts w:ascii="宋体" w:hAnsi="宋体"/>
                <w:sz w:val="18"/>
              </w:rPr>
            </w:pPr>
            <w:r>
              <w:rPr>
                <w:rFonts w:hint="eastAsia" w:ascii="宋体" w:hAnsi="宋体"/>
                <w:sz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tcBorders>
              <w:bottom w:val="single" w:color="auto" w:sz="4" w:space="0"/>
            </w:tcBorders>
            <w:shd w:val="clear" w:color="auto" w:fill="auto"/>
            <w:vAlign w:val="center"/>
          </w:tcPr>
          <w:p>
            <w:pPr>
              <w:jc w:val="center"/>
              <w:rPr>
                <w:rFonts w:ascii="宋体"/>
                <w:sz w:val="18"/>
              </w:rPr>
            </w:pPr>
            <w:r>
              <w:rPr>
                <w:rFonts w:hint="eastAsia" w:ascii="宋体"/>
                <w:sz w:val="18"/>
              </w:rPr>
              <w:t>N</w:t>
            </w:r>
            <w:r>
              <w:rPr>
                <w:rFonts w:hint="eastAsia" w:ascii="宋体"/>
                <w:sz w:val="18"/>
                <w:vertAlign w:val="subscript"/>
              </w:rPr>
              <w:t>1</w:t>
            </w:r>
          </w:p>
        </w:tc>
        <w:tc>
          <w:tcPr>
            <w:tcW w:w="1286" w:type="dxa"/>
            <w:tcBorders>
              <w:bottom w:val="single" w:color="auto" w:sz="4" w:space="0"/>
            </w:tcBorders>
            <w:shd w:val="clear" w:color="auto" w:fill="auto"/>
          </w:tcPr>
          <w:p>
            <w:pPr>
              <w:jc w:val="center"/>
              <w:rPr>
                <w:rFonts w:ascii="宋体" w:hAnsi="宋体"/>
                <w:sz w:val="18"/>
              </w:rPr>
            </w:pPr>
            <w:r>
              <w:rPr>
                <w:rFonts w:hint="eastAsia" w:ascii="宋体" w:hAnsi="宋体"/>
                <w:sz w:val="18"/>
              </w:rPr>
              <w:t>3</w:t>
            </w:r>
          </w:p>
        </w:tc>
        <w:tc>
          <w:tcPr>
            <w:tcW w:w="1286" w:type="dxa"/>
            <w:tcBorders>
              <w:bottom w:val="single" w:color="auto" w:sz="4" w:space="0"/>
            </w:tcBorders>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a</w:t>
            </w:r>
          </w:p>
        </w:tc>
        <w:tc>
          <w:tcPr>
            <w:tcW w:w="1286" w:type="dxa"/>
            <w:tcBorders>
              <w:bottom w:val="single" w:color="auto" w:sz="4" w:space="0"/>
            </w:tcBorders>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b</w:t>
            </w:r>
          </w:p>
        </w:tc>
        <w:tc>
          <w:tcPr>
            <w:tcW w:w="1286" w:type="dxa"/>
            <w:tcBorders>
              <w:bottom w:val="single" w:color="auto" w:sz="4" w:space="0"/>
            </w:tcBorders>
            <w:shd w:val="clear" w:color="auto" w:fill="auto"/>
          </w:tcPr>
          <w:p>
            <w:pPr>
              <w:jc w:val="center"/>
              <w:rPr>
                <w:rFonts w:ascii="宋体" w:hAnsi="宋体"/>
                <w:sz w:val="18"/>
              </w:rPr>
            </w:pPr>
            <w:r>
              <w:rPr>
                <w:rFonts w:hint="eastAsia" w:ascii="宋体" w:hAnsi="宋体"/>
                <w:sz w:val="18"/>
              </w:rPr>
              <w:t>2</w:t>
            </w:r>
          </w:p>
        </w:tc>
        <w:tc>
          <w:tcPr>
            <w:tcW w:w="877" w:type="dxa"/>
            <w:tcBorders>
              <w:bottom w:val="single" w:color="auto" w:sz="4" w:space="0"/>
            </w:tcBorders>
            <w:shd w:val="clear" w:color="auto" w:fill="auto"/>
          </w:tcPr>
          <w:p>
            <w:pPr>
              <w:jc w:val="center"/>
              <w:rPr>
                <w:rFonts w:ascii="宋体" w:hAnsi="宋体"/>
                <w:sz w:val="18"/>
              </w:rPr>
            </w:pPr>
            <w:r>
              <w:rPr>
                <w:rFonts w:hint="eastAsia" w:ascii="宋体" w:hAnsi="宋体"/>
                <w:sz w:val="18"/>
              </w:rPr>
              <w:t>2</w:t>
            </w:r>
          </w:p>
        </w:tc>
        <w:tc>
          <w:tcPr>
            <w:tcW w:w="815" w:type="dxa"/>
            <w:tcBorders>
              <w:bottom w:val="single" w:color="auto" w:sz="4" w:space="0"/>
            </w:tcBorders>
            <w:shd w:val="clear" w:color="auto" w:fill="auto"/>
          </w:tcPr>
          <w:p>
            <w:pPr>
              <w:jc w:val="center"/>
              <w:rPr>
                <w:rFonts w:ascii="宋体" w:hAnsi="宋体"/>
                <w:sz w:val="18"/>
              </w:rPr>
            </w:pPr>
            <w:r>
              <w:rPr>
                <w:rFonts w:hint="eastAsia" w:ascii="宋体" w:hAns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auto" w:sz="4" w:space="0"/>
              <w:bottom w:val="single" w:color="auto" w:sz="8" w:space="0"/>
            </w:tcBorders>
            <w:shd w:val="clear" w:color="auto" w:fill="auto"/>
            <w:vAlign w:val="center"/>
          </w:tcPr>
          <w:p>
            <w:pPr>
              <w:jc w:val="center"/>
              <w:rPr>
                <w:rFonts w:ascii="宋体"/>
                <w:sz w:val="18"/>
              </w:rPr>
            </w:pPr>
            <w:r>
              <w:rPr>
                <w:rFonts w:hint="eastAsia" w:ascii="宋体"/>
                <w:sz w:val="18"/>
              </w:rPr>
              <w:t>N</w:t>
            </w:r>
            <w:r>
              <w:rPr>
                <w:rFonts w:hint="eastAsia" w:ascii="宋体"/>
                <w:sz w:val="18"/>
                <w:vertAlign w:val="subscript"/>
              </w:rPr>
              <w:t>2</w:t>
            </w:r>
            <w:r>
              <w:rPr>
                <w:rFonts w:hint="eastAsia" w:ascii="宋体"/>
                <w:sz w:val="18"/>
              </w:rPr>
              <w:t>、N</w:t>
            </w:r>
            <w:r>
              <w:rPr>
                <w:rFonts w:hint="eastAsia" w:ascii="宋体"/>
                <w:sz w:val="18"/>
                <w:vertAlign w:val="subscript"/>
              </w:rPr>
              <w:t>3</w:t>
            </w:r>
          </w:p>
        </w:tc>
        <w:tc>
          <w:tcPr>
            <w:tcW w:w="1286"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3</w:t>
            </w:r>
          </w:p>
        </w:tc>
        <w:tc>
          <w:tcPr>
            <w:tcW w:w="1286"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2</w:t>
            </w:r>
          </w:p>
        </w:tc>
        <w:tc>
          <w:tcPr>
            <w:tcW w:w="1286"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3或2</w:t>
            </w:r>
            <w:r>
              <w:rPr>
                <w:rFonts w:hint="eastAsia" w:ascii="宋体" w:hAnsi="宋体"/>
                <w:sz w:val="18"/>
                <w:vertAlign w:val="superscript"/>
              </w:rPr>
              <w:t>b</w:t>
            </w:r>
          </w:p>
        </w:tc>
        <w:tc>
          <w:tcPr>
            <w:tcW w:w="1286"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2</w:t>
            </w:r>
          </w:p>
        </w:tc>
        <w:tc>
          <w:tcPr>
            <w:tcW w:w="877"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2</w:t>
            </w:r>
          </w:p>
        </w:tc>
        <w:tc>
          <w:tcPr>
            <w:tcW w:w="815" w:type="dxa"/>
            <w:tcBorders>
              <w:top w:val="single" w:color="auto" w:sz="4" w:space="0"/>
              <w:bottom w:val="single" w:color="auto" w:sz="8" w:space="0"/>
            </w:tcBorders>
            <w:shd w:val="clear" w:color="auto" w:fill="auto"/>
          </w:tcPr>
          <w:p>
            <w:pPr>
              <w:jc w:val="center"/>
              <w:rPr>
                <w:rFonts w:ascii="宋体" w:hAnsi="宋体"/>
                <w:sz w:val="18"/>
              </w:rPr>
            </w:pPr>
            <w:r>
              <w:rPr>
                <w:rFonts w:hint="eastAsia" w:ascii="宋体" w:hAns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9570" w:type="dxa"/>
            <w:gridSpan w:val="7"/>
            <w:tcBorders>
              <w:top w:val="single" w:color="auto" w:sz="8" w:space="0"/>
            </w:tcBorders>
            <w:shd w:val="clear" w:color="auto" w:fill="auto"/>
            <w:vAlign w:val="center"/>
          </w:tcPr>
          <w:p>
            <w:pPr>
              <w:pStyle w:val="104"/>
            </w:pPr>
            <w:r>
              <w:rPr>
                <w:rFonts w:hint="eastAsia"/>
              </w:rPr>
              <w:t>参见</w:t>
            </w:r>
            <w:r>
              <w:t>4.2.1.4(若座椅在通道内侧,允许2个固定点)。</w:t>
            </w:r>
          </w:p>
          <w:p>
            <w:pPr>
              <w:pStyle w:val="104"/>
            </w:pPr>
            <w:r>
              <w:rPr>
                <w:rFonts w:hint="eastAsia"/>
              </w:rPr>
              <w:t>参见</w:t>
            </w:r>
            <w:r>
              <w:t>4.2.1.5(若风窗玻璃在基准区外,允许2个固定点)。</w:t>
            </w:r>
          </w:p>
          <w:p>
            <w:pPr>
              <w:pStyle w:val="104"/>
            </w:pPr>
            <w:r>
              <w:t>参见4.2.1.6（基准区若无任何部件，允许2个固定点）。</w:t>
            </w:r>
          </w:p>
          <w:p>
            <w:pPr>
              <w:pStyle w:val="104"/>
            </w:pPr>
            <w:r>
              <w:rPr>
                <w:rFonts w:hint="eastAsia"/>
              </w:rPr>
              <w:t>参见</w:t>
            </w:r>
            <w:r>
              <w:fldChar w:fldCharType="begin"/>
            </w:r>
            <w:r>
              <w:instrText xml:space="preserve"> </w:instrText>
            </w:r>
            <w:r>
              <w:rPr>
                <w:rFonts w:hint="eastAsia"/>
              </w:rPr>
              <w:instrText xml:space="preserve">REF _Ref276825481 \r \h</w:instrText>
            </w:r>
            <w:r>
              <w:instrText xml:space="preserve">  \* MERGEFORMAT </w:instrText>
            </w:r>
            <w:r>
              <w:fldChar w:fldCharType="separate"/>
            </w:r>
            <w:r>
              <w:t>4.2.1.8　</w:t>
            </w:r>
            <w:r>
              <w:fldChar w:fldCharType="end"/>
            </w:r>
            <w:r>
              <w:rPr>
                <w:rFonts w:hint="eastAsia"/>
              </w:rPr>
              <w:t>（对双层客车中上层座椅的特殊要求）。</w:t>
            </w:r>
          </w:p>
        </w:tc>
      </w:tr>
    </w:tbl>
    <w:p>
      <w:pPr>
        <w:pStyle w:val="80"/>
        <w:numPr>
          <w:ilvl w:val="0"/>
          <w:numId w:val="0"/>
        </w:numPr>
        <w:spacing w:before="156" w:after="156"/>
      </w:pPr>
      <w:r>
        <w:rPr>
          <w:rFonts w:hint="eastAsia"/>
        </w:rPr>
        <w:t>表</w:t>
      </w:r>
      <w:r>
        <w:t xml:space="preserve">B.2 </w:t>
      </w:r>
      <w:r>
        <w:rPr>
          <w:rFonts w:hint="eastAsia"/>
        </w:rPr>
        <w:t>下固定点角度</w:t>
      </w:r>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2576"/>
        <w:gridCol w:w="2393"/>
        <w:gridCol w:w="2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84" w:type="dxa"/>
            <w:gridSpan w:val="2"/>
            <w:tcBorders>
              <w:top w:val="single" w:color="auto" w:sz="8" w:space="0"/>
              <w:bottom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座椅</w:t>
            </w:r>
          </w:p>
        </w:tc>
        <w:tc>
          <w:tcPr>
            <w:tcW w:w="2393" w:type="dxa"/>
            <w:tcBorders>
              <w:top w:val="single" w:color="auto" w:sz="8" w:space="0"/>
              <w:bottom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M</w:t>
            </w:r>
            <w:r>
              <w:rPr>
                <w:rFonts w:hint="eastAsia" w:ascii="宋体" w:hAnsi="Times New Roman"/>
                <w:sz w:val="18"/>
                <w:szCs w:val="24"/>
                <w:vertAlign w:val="subscript"/>
              </w:rPr>
              <w:t>1</w:t>
            </w:r>
            <w:r>
              <w:rPr>
                <w:rFonts w:hint="eastAsia" w:ascii="宋体" w:hAnsi="Times New Roman"/>
                <w:sz w:val="18"/>
                <w:szCs w:val="24"/>
              </w:rPr>
              <w:t>类车辆</w:t>
            </w:r>
          </w:p>
        </w:tc>
        <w:tc>
          <w:tcPr>
            <w:tcW w:w="2393" w:type="dxa"/>
            <w:tcBorders>
              <w:top w:val="single" w:color="auto" w:sz="8" w:space="0"/>
              <w:bottom w:val="single" w:color="auto" w:sz="8" w:space="0"/>
            </w:tcBorders>
            <w:shd w:val="clear" w:color="auto" w:fill="auto"/>
            <w:vAlign w:val="center"/>
          </w:tcPr>
          <w:p>
            <w:pPr>
              <w:adjustRightInd/>
              <w:spacing w:line="240" w:lineRule="auto"/>
              <w:ind w:left="726"/>
              <w:rPr>
                <w:rFonts w:ascii="宋体" w:hAnsi="Times New Roman"/>
                <w:sz w:val="18"/>
                <w:szCs w:val="18"/>
                <w:lang w:eastAsia="zh-CN"/>
              </w:rPr>
            </w:pPr>
            <w:r>
              <w:rPr>
                <w:rFonts w:hint="eastAsia" w:ascii="宋体" w:hAnsi="Times New Roman"/>
                <w:sz w:val="18"/>
                <w:szCs w:val="18"/>
                <w:lang w:eastAsia="zh-CN"/>
              </w:rPr>
              <w:t>非M</w:t>
            </w:r>
            <w:r>
              <w:rPr>
                <w:rFonts w:hint="eastAsia" w:ascii="宋体" w:hAnsi="Times New Roman"/>
                <w:sz w:val="18"/>
                <w:szCs w:val="18"/>
                <w:vertAlign w:val="subscript"/>
                <w:lang w:eastAsia="zh-CN"/>
              </w:rPr>
              <w:t>1</w:t>
            </w:r>
            <w:r>
              <w:rPr>
                <w:rFonts w:hint="eastAsia" w:ascii="宋体" w:hAnsi="Times New Roman"/>
                <w:sz w:val="18"/>
                <w:szCs w:val="18"/>
                <w:lang w:eastAsia="zh-CN"/>
              </w:rPr>
              <w:t>类车辆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restart"/>
            <w:tcBorders>
              <w:top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前排</w:t>
            </w:r>
            <w:r>
              <w:rPr>
                <w:rFonts w:ascii="宋体" w:hAnsi="宋体"/>
                <w:sz w:val="18"/>
                <w:szCs w:val="24"/>
                <w:vertAlign w:val="superscript"/>
              </w:rPr>
              <w:t>a</w:t>
            </w:r>
          </w:p>
        </w:tc>
        <w:tc>
          <w:tcPr>
            <w:tcW w:w="2576" w:type="dxa"/>
            <w:tcBorders>
              <w:top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带扣侧（α</w:t>
            </w:r>
            <w:r>
              <w:rPr>
                <w:rFonts w:hint="eastAsia" w:ascii="宋体" w:hAnsi="Times New Roman"/>
                <w:sz w:val="18"/>
                <w:szCs w:val="24"/>
                <w:vertAlign w:val="subscript"/>
              </w:rPr>
              <w:t>2</w:t>
            </w:r>
            <w:r>
              <w:rPr>
                <w:rFonts w:hint="eastAsia" w:ascii="宋体" w:hAnsi="Times New Roman"/>
                <w:sz w:val="18"/>
                <w:szCs w:val="24"/>
              </w:rPr>
              <w:t>）</w:t>
            </w:r>
          </w:p>
        </w:tc>
        <w:tc>
          <w:tcPr>
            <w:tcW w:w="2393" w:type="dxa"/>
            <w:tcBorders>
              <w:top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45</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c>
          <w:tcPr>
            <w:tcW w:w="2393" w:type="dxa"/>
            <w:tcBorders>
              <w:top w:val="single" w:color="auto" w:sz="8"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30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continue"/>
            <w:shd w:val="clear" w:color="auto" w:fill="auto"/>
            <w:vAlign w:val="center"/>
          </w:tcPr>
          <w:p>
            <w:pPr>
              <w:adjustRightInd/>
              <w:spacing w:line="240" w:lineRule="auto"/>
              <w:jc w:val="center"/>
              <w:rPr>
                <w:rFonts w:ascii="宋体" w:hAnsi="Times New Roman"/>
                <w:sz w:val="18"/>
                <w:szCs w:val="24"/>
              </w:rPr>
            </w:pPr>
          </w:p>
        </w:tc>
        <w:tc>
          <w:tcPr>
            <w:tcW w:w="2576"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非带扣侧（α</w:t>
            </w:r>
            <w:r>
              <w:rPr>
                <w:rFonts w:hint="eastAsia" w:ascii="宋体" w:hAnsi="Times New Roman"/>
                <w:sz w:val="18"/>
                <w:szCs w:val="24"/>
                <w:vertAlign w:val="subscript"/>
              </w:rPr>
              <w:t>1</w:t>
            </w:r>
            <w:r>
              <w:rPr>
                <w:rFonts w:hint="eastAsia" w:ascii="宋体"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30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30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continue"/>
            <w:shd w:val="clear" w:color="auto" w:fill="auto"/>
            <w:vAlign w:val="center"/>
          </w:tcPr>
          <w:p>
            <w:pPr>
              <w:adjustRightInd/>
              <w:spacing w:line="240" w:lineRule="auto"/>
              <w:jc w:val="center"/>
              <w:rPr>
                <w:rFonts w:ascii="宋体" w:hAnsi="Times New Roman"/>
                <w:sz w:val="18"/>
                <w:szCs w:val="24"/>
              </w:rPr>
            </w:pPr>
          </w:p>
        </w:tc>
        <w:tc>
          <w:tcPr>
            <w:tcW w:w="2576"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角度为定值</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50</w:t>
            </w:r>
            <w:r>
              <w:rPr>
                <w:rFonts w:ascii="Times New Roman" w:hAnsi="Times New Roman"/>
                <w:sz w:val="18"/>
                <w:szCs w:val="24"/>
              </w:rPr>
              <w:t>˚</w:t>
            </w:r>
            <w:r>
              <w:rPr>
                <w:rFonts w:hint="eastAsia" w:ascii="宋体" w:hAnsi="Times New Roman"/>
                <w:sz w:val="18"/>
                <w:szCs w:val="24"/>
              </w:rPr>
              <w:t>～70</w:t>
            </w:r>
            <w:r>
              <w:rPr>
                <w:rFonts w:ascii="Times New Roman"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50</w:t>
            </w:r>
            <w:r>
              <w:rPr>
                <w:rFonts w:ascii="Times New Roman" w:hAnsi="Times New Roman"/>
                <w:sz w:val="18"/>
                <w:szCs w:val="24"/>
              </w:rPr>
              <w:t>˚</w:t>
            </w:r>
            <w:r>
              <w:rPr>
                <w:rFonts w:hint="eastAsia" w:ascii="宋体" w:hAnsi="Times New Roman"/>
                <w:sz w:val="18"/>
                <w:szCs w:val="24"/>
              </w:rPr>
              <w:t>～70</w:t>
            </w:r>
            <w:r>
              <w:rPr>
                <w:rFonts w:ascii="Times New Roman" w:hAnsi="Times New Roman"/>
                <w:sz w:val="18"/>
                <w:szCs w:val="24"/>
              </w:rPr>
              <w:t>˚</w:t>
            </w:r>
            <w:r>
              <w:rPr>
                <w:rFonts w:ascii="Times New Roman" w:hAnsi="Times New Roman"/>
                <w:sz w:val="18"/>
                <w:szCs w:val="24"/>
                <w:vertAlign w:val="superscript"/>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continue"/>
            <w:shd w:val="clear" w:color="auto" w:fill="auto"/>
            <w:vAlign w:val="center"/>
          </w:tcPr>
          <w:p>
            <w:pPr>
              <w:adjustRightInd/>
              <w:spacing w:line="240" w:lineRule="auto"/>
              <w:jc w:val="center"/>
              <w:rPr>
                <w:rFonts w:ascii="宋体" w:hAnsi="Times New Roman"/>
                <w:sz w:val="18"/>
                <w:szCs w:val="24"/>
              </w:rPr>
            </w:pPr>
          </w:p>
        </w:tc>
        <w:tc>
          <w:tcPr>
            <w:tcW w:w="2576"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长条座椅带扣侧（α</w:t>
            </w:r>
            <w:r>
              <w:rPr>
                <w:rFonts w:hint="eastAsia" w:ascii="宋体" w:hAnsi="Times New Roman"/>
                <w:sz w:val="18"/>
                <w:szCs w:val="24"/>
                <w:vertAlign w:val="subscript"/>
              </w:rPr>
              <w:t>2</w:t>
            </w:r>
            <w:r>
              <w:rPr>
                <w:rFonts w:hint="eastAsia" w:ascii="宋体"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45</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20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continue"/>
            <w:shd w:val="clear" w:color="auto" w:fill="auto"/>
            <w:vAlign w:val="center"/>
          </w:tcPr>
          <w:p>
            <w:pPr>
              <w:adjustRightInd/>
              <w:spacing w:line="240" w:lineRule="auto"/>
              <w:jc w:val="center"/>
              <w:rPr>
                <w:rFonts w:ascii="宋体" w:hAnsi="Times New Roman"/>
                <w:sz w:val="18"/>
                <w:szCs w:val="24"/>
              </w:rPr>
            </w:pPr>
          </w:p>
        </w:tc>
        <w:tc>
          <w:tcPr>
            <w:tcW w:w="2576"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长条座椅非带扣侧（α</w:t>
            </w:r>
            <w:r>
              <w:rPr>
                <w:rFonts w:hint="eastAsia" w:ascii="宋体" w:hAnsi="Times New Roman"/>
                <w:sz w:val="18"/>
                <w:szCs w:val="24"/>
                <w:vertAlign w:val="subscript"/>
              </w:rPr>
              <w:t>1</w:t>
            </w:r>
            <w:r>
              <w:rPr>
                <w:rFonts w:hint="eastAsia" w:ascii="宋体"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30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c>
          <w:tcPr>
            <w:tcW w:w="2393" w:type="dxa"/>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20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vMerge w:val="continue"/>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p>
        </w:tc>
        <w:tc>
          <w:tcPr>
            <w:tcW w:w="2576"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座椅靠背角＜20</w:t>
            </w:r>
            <w:r>
              <w:rPr>
                <w:rFonts w:ascii="Times New Roman" w:hAnsi="Times New Roman"/>
                <w:sz w:val="18"/>
                <w:szCs w:val="24"/>
              </w:rPr>
              <w:t>˚</w:t>
            </w:r>
            <w:r>
              <w:rPr>
                <w:rFonts w:hint="eastAsia" w:ascii="宋体" w:hAnsi="Times New Roman"/>
                <w:sz w:val="18"/>
                <w:szCs w:val="24"/>
              </w:rPr>
              <w:t>的可调座椅</w:t>
            </w:r>
          </w:p>
        </w:tc>
        <w:tc>
          <w:tcPr>
            <w:tcW w:w="2393"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α</w:t>
            </w:r>
            <w:r>
              <w:rPr>
                <w:rFonts w:hint="eastAsia" w:ascii="宋体" w:hAnsi="Times New Roman"/>
                <w:sz w:val="18"/>
                <w:szCs w:val="24"/>
                <w:vertAlign w:val="subscript"/>
              </w:rPr>
              <w:t>1</w:t>
            </w:r>
            <w:r>
              <w:rPr>
                <w:rFonts w:hint="eastAsia" w:ascii="宋体" w:hAnsi="Times New Roman"/>
                <w:sz w:val="18"/>
                <w:szCs w:val="24"/>
              </w:rPr>
              <w:t>：20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r>
              <w:rPr>
                <w:rFonts w:hint="eastAsia" w:ascii="宋体" w:hAnsi="Times New Roman"/>
                <w:sz w:val="18"/>
                <w:szCs w:val="24"/>
                <w:vertAlign w:val="superscript"/>
              </w:rPr>
              <w:t>a</w:t>
            </w:r>
          </w:p>
          <w:p>
            <w:pPr>
              <w:adjustRightInd/>
              <w:spacing w:line="240" w:lineRule="auto"/>
              <w:jc w:val="center"/>
              <w:rPr>
                <w:rFonts w:ascii="宋体" w:hAnsi="Times New Roman"/>
                <w:sz w:val="18"/>
                <w:szCs w:val="24"/>
              </w:rPr>
            </w:pPr>
            <w:r>
              <w:rPr>
                <w:rFonts w:hint="eastAsia" w:ascii="宋体" w:hAnsi="Times New Roman"/>
                <w:sz w:val="18"/>
                <w:szCs w:val="24"/>
              </w:rPr>
              <w:t>α</w:t>
            </w:r>
            <w:r>
              <w:rPr>
                <w:rFonts w:hint="eastAsia" w:ascii="宋体" w:hAnsi="Times New Roman"/>
                <w:sz w:val="18"/>
                <w:szCs w:val="24"/>
                <w:vertAlign w:val="subscript"/>
              </w:rPr>
              <w:t>2</w:t>
            </w:r>
            <w:r>
              <w:rPr>
                <w:rFonts w:hint="eastAsia" w:ascii="宋体" w:hAnsi="Times New Roman"/>
                <w:sz w:val="18"/>
                <w:szCs w:val="24"/>
              </w:rPr>
              <w:t>：45</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r>
              <w:rPr>
                <w:rFonts w:ascii="宋体" w:hAnsi="Times New Roman"/>
                <w:sz w:val="18"/>
                <w:szCs w:val="24"/>
                <w:vertAlign w:val="superscript"/>
              </w:rPr>
              <w:t>a</w:t>
            </w:r>
          </w:p>
        </w:tc>
        <w:tc>
          <w:tcPr>
            <w:tcW w:w="2393"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20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08"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后排座椅</w:t>
            </w:r>
            <w:r>
              <w:rPr>
                <w:rFonts w:ascii="宋体" w:hAnsi="Times New Roman"/>
                <w:sz w:val="18"/>
                <w:szCs w:val="24"/>
                <w:vertAlign w:val="superscript"/>
              </w:rPr>
              <w:t>c</w:t>
            </w:r>
          </w:p>
        </w:tc>
        <w:tc>
          <w:tcPr>
            <w:tcW w:w="2576"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w:t>
            </w:r>
          </w:p>
        </w:tc>
        <w:tc>
          <w:tcPr>
            <w:tcW w:w="2393"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30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p>
        </w:tc>
        <w:tc>
          <w:tcPr>
            <w:tcW w:w="2393" w:type="dxa"/>
            <w:tcBorders>
              <w:bottom w:val="single" w:color="auto" w:sz="4" w:space="0"/>
            </w:tcBorders>
            <w:shd w:val="clear" w:color="auto" w:fill="auto"/>
            <w:vAlign w:val="center"/>
          </w:tcPr>
          <w:p>
            <w:pPr>
              <w:adjustRightInd/>
              <w:spacing w:line="240" w:lineRule="auto"/>
              <w:jc w:val="center"/>
              <w:rPr>
                <w:rFonts w:ascii="宋体" w:hAnsi="Times New Roman"/>
                <w:sz w:val="18"/>
                <w:szCs w:val="24"/>
              </w:rPr>
            </w:pPr>
            <w:r>
              <w:rPr>
                <w:rFonts w:hint="eastAsia" w:ascii="宋体" w:hAnsi="Times New Roman"/>
                <w:sz w:val="18"/>
                <w:szCs w:val="24"/>
              </w:rPr>
              <w:t>20</w:t>
            </w:r>
            <w:r>
              <w:rPr>
                <w:rFonts w:ascii="Times New Roman" w:hAnsi="Times New Roman"/>
                <w:sz w:val="18"/>
                <w:szCs w:val="24"/>
              </w:rPr>
              <w:t>˚</w:t>
            </w:r>
            <w:r>
              <w:rPr>
                <w:rFonts w:hint="eastAsia" w:ascii="宋体" w:hAnsi="Times New Roman"/>
                <w:sz w:val="18"/>
                <w:szCs w:val="24"/>
              </w:rPr>
              <w:t>～80</w:t>
            </w:r>
            <w:r>
              <w:rPr>
                <w:rFonts w:ascii="Times New Roman" w:hAnsi="Times New Roman"/>
                <w:sz w:val="18"/>
                <w:szCs w:val="24"/>
              </w:rPr>
              <w:t>˚</w:t>
            </w:r>
            <w:r>
              <w:rPr>
                <w:rFonts w:ascii="宋体" w:hAnsi="Times New Roman"/>
                <w:sz w:val="18"/>
                <w:szCs w:val="24"/>
                <w:vertAlign w:val="superscript"/>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70" w:type="dxa"/>
            <w:gridSpan w:val="4"/>
            <w:shd w:val="clear" w:color="auto" w:fill="auto"/>
            <w:vAlign w:val="center"/>
          </w:tcPr>
          <w:p>
            <w:pPr>
              <w:pStyle w:val="104"/>
              <w:numPr>
                <w:ilvl w:val="0"/>
                <w:numId w:val="59"/>
              </w:numPr>
            </w:pPr>
            <w:r>
              <w:t>若角度不为恒定值，见4.3.2.1。</w:t>
            </w:r>
          </w:p>
          <w:p>
            <w:pPr>
              <w:pStyle w:val="104"/>
            </w:pPr>
            <w:r>
              <w:t>车辆最大总质量不超过3500kg</w:t>
            </w:r>
            <w:r>
              <w:rPr>
                <w:rFonts w:hint="eastAsia"/>
              </w:rPr>
              <w:t>。</w:t>
            </w:r>
          </w:p>
          <w:p>
            <w:pPr>
              <w:pStyle w:val="104"/>
            </w:pPr>
            <w:r>
              <w:t>包括外侧和中间乘坐位置。</w:t>
            </w:r>
          </w:p>
          <w:p>
            <w:pPr>
              <w:pStyle w:val="104"/>
            </w:pPr>
            <w:r>
              <w:t>M</w:t>
            </w:r>
            <w:r>
              <w:rPr>
                <w:vertAlign w:val="subscript"/>
              </w:rPr>
              <w:t>2</w:t>
            </w:r>
            <w:r>
              <w:t>和M</w:t>
            </w:r>
            <w:r>
              <w:rPr>
                <w:vertAlign w:val="subscript"/>
              </w:rPr>
              <w:t>3</w:t>
            </w:r>
            <w:r>
              <w:t>类车辆为45</w:t>
            </w:r>
            <w:r>
              <w:rPr>
                <w:rFonts w:ascii="Times New Roman" w:hAnsi="Times New Roman"/>
              </w:rPr>
              <w:t>˚</w:t>
            </w:r>
            <w:r>
              <w:t>～90</w:t>
            </w:r>
            <w:r>
              <w:rPr>
                <w:rFonts w:ascii="Times New Roman" w:hAnsi="Times New Roman"/>
              </w:rPr>
              <w:t>˚</w:t>
            </w:r>
            <w:r>
              <w:t>。</w:t>
            </w:r>
          </w:p>
        </w:tc>
      </w:tr>
    </w:tbl>
    <w:p>
      <w:pPr>
        <w:pStyle w:val="59"/>
        <w:ind w:firstLine="420"/>
      </w:pPr>
    </w:p>
    <w:p>
      <w:pPr>
        <w:widowControl/>
        <w:adjustRightInd/>
        <w:spacing w:line="240" w:lineRule="auto"/>
        <w:jc w:val="left"/>
        <w:rPr>
          <w:vanish/>
        </w:rPr>
      </w:pPr>
      <w:r>
        <w:br w:type="page"/>
      </w:r>
    </w:p>
    <w:p>
      <w:pPr>
        <w:pStyle w:val="202"/>
        <w:rPr>
          <w:vanish w:val="0"/>
        </w:rPr>
      </w:pPr>
    </w:p>
    <w:p>
      <w:pPr>
        <w:pStyle w:val="79"/>
        <w:spacing w:before="78" w:after="156"/>
      </w:pPr>
      <w:r>
        <w:br w:type="textWrapping"/>
      </w:r>
      <w:bookmarkStart w:id="482" w:name="_Toc96705341"/>
      <w:r>
        <w:rPr>
          <w:rFonts w:hint="eastAsia"/>
        </w:rPr>
        <w:t>（规范性）</w:t>
      </w:r>
      <w:r>
        <w:br w:type="textWrapping"/>
      </w:r>
      <w:r>
        <w:rPr>
          <w:rFonts w:hint="eastAsia"/>
        </w:rPr>
        <w:t>有效固定点的位置</w:t>
      </w:r>
      <w:bookmarkEnd w:id="482"/>
    </w:p>
    <w:p>
      <w:pPr>
        <w:pStyle w:val="81"/>
        <w:spacing w:before="156" w:after="156"/>
      </w:pPr>
      <w:bookmarkStart w:id="483" w:name="_Toc277059218"/>
      <w:bookmarkStart w:id="484" w:name="_Toc276822194"/>
      <w:bookmarkStart w:id="485" w:name="_Toc277061699"/>
      <w:bookmarkStart w:id="486" w:name="_Toc307323667"/>
      <w:bookmarkStart w:id="487" w:name="_Toc337675114"/>
      <w:bookmarkStart w:id="488" w:name="_Toc282199423"/>
      <w:bookmarkStart w:id="489" w:name="_Toc282778271"/>
      <w:bookmarkStart w:id="490" w:name="_Toc276987364"/>
      <w:bookmarkStart w:id="491" w:name="_Toc279473170"/>
      <w:r>
        <w:rPr>
          <w:rFonts w:hint="eastAsia"/>
        </w:rPr>
        <w:t>定义</w:t>
      </w:r>
      <w:bookmarkEnd w:id="483"/>
      <w:bookmarkEnd w:id="484"/>
      <w:bookmarkEnd w:id="485"/>
      <w:bookmarkEnd w:id="486"/>
      <w:bookmarkEnd w:id="487"/>
      <w:bookmarkEnd w:id="488"/>
      <w:bookmarkEnd w:id="489"/>
      <w:bookmarkEnd w:id="490"/>
      <w:bookmarkEnd w:id="491"/>
    </w:p>
    <w:p>
      <w:pPr>
        <w:pStyle w:val="82"/>
        <w:wordWrap/>
        <w:spacing w:before="0" w:beforeLines="0" w:after="0" w:afterLines="0"/>
      </w:pPr>
      <w:r>
        <w:rPr>
          <w:rFonts w:hint="eastAsia" w:ascii="Times New Roman" w:eastAsia="宋体"/>
          <w:kern w:val="2"/>
          <w:szCs w:val="24"/>
        </w:rPr>
        <w:t>H点为基准点，应按G</w:t>
      </w:r>
      <w:r>
        <w:rPr>
          <w:rFonts w:ascii="Times New Roman" w:eastAsia="宋体"/>
          <w:kern w:val="2"/>
          <w:szCs w:val="24"/>
        </w:rPr>
        <w:t>B 11551</w:t>
      </w:r>
      <w:r>
        <w:rPr>
          <w:rFonts w:hint="eastAsia" w:ascii="Times New Roman" w:eastAsia="宋体"/>
          <w:kern w:val="2"/>
          <w:szCs w:val="24"/>
        </w:rPr>
        <w:t>-</w:t>
      </w:r>
      <w:r>
        <w:rPr>
          <w:rFonts w:ascii="Times New Roman" w:eastAsia="宋体"/>
          <w:kern w:val="2"/>
          <w:szCs w:val="24"/>
        </w:rPr>
        <w:t>2014中附录</w:t>
      </w:r>
      <w:r>
        <w:rPr>
          <w:rFonts w:hint="eastAsia" w:ascii="Times New Roman" w:eastAsia="宋体"/>
          <w:kern w:val="2"/>
          <w:szCs w:val="24"/>
        </w:rPr>
        <w:t>A规定的程序确定。H</w:t>
      </w:r>
      <w:r>
        <w:rPr>
          <w:rFonts w:hint="eastAsia" w:ascii="Times New Roman" w:hAnsi="宋体" w:eastAsia="宋体" w:cs="Arial"/>
          <w:kern w:val="2"/>
          <w:szCs w:val="24"/>
        </w:rPr>
        <w:t>＇</w:t>
      </w:r>
      <w:r>
        <w:rPr>
          <w:rFonts w:hint="eastAsia" w:ascii="Times New Roman" w:eastAsia="宋体"/>
          <w:kern w:val="2"/>
          <w:szCs w:val="24"/>
        </w:rPr>
        <w:t>点为对应座椅每一正常使用位置确定的，对应于H点的参考点。R点为座椅基准点。</w:t>
      </w:r>
    </w:p>
    <w:p>
      <w:pPr>
        <w:pStyle w:val="82"/>
        <w:wordWrap/>
        <w:spacing w:before="0" w:beforeLines="0" w:after="0" w:afterLines="0"/>
        <w:rPr>
          <w:rFonts w:ascii="Times New Roman" w:eastAsia="宋体"/>
          <w:kern w:val="2"/>
          <w:szCs w:val="24"/>
        </w:rPr>
      </w:pPr>
      <w:r>
        <w:rPr>
          <w:rFonts w:hint="eastAsia" w:ascii="Times New Roman" w:eastAsia="宋体"/>
          <w:kern w:val="2"/>
          <w:szCs w:val="24"/>
        </w:rPr>
        <w:t>L</w:t>
      </w:r>
      <w:r>
        <w:rPr>
          <w:rFonts w:hint="eastAsia" w:ascii="Times New Roman" w:eastAsia="宋体"/>
          <w:kern w:val="2"/>
          <w:szCs w:val="24"/>
          <w:vertAlign w:val="subscript"/>
        </w:rPr>
        <w:t>1</w:t>
      </w:r>
      <w:r>
        <w:rPr>
          <w:rFonts w:hint="eastAsia" w:ascii="Times New Roman" w:eastAsia="宋体"/>
          <w:kern w:val="2"/>
          <w:szCs w:val="24"/>
        </w:rPr>
        <w:t>和L</w:t>
      </w:r>
      <w:r>
        <w:rPr>
          <w:rFonts w:hint="eastAsia" w:ascii="Times New Roman" w:eastAsia="宋体"/>
          <w:kern w:val="2"/>
          <w:szCs w:val="24"/>
          <w:vertAlign w:val="subscript"/>
        </w:rPr>
        <w:t>2</w:t>
      </w:r>
      <w:r>
        <w:rPr>
          <w:rFonts w:hint="eastAsia" w:ascii="Times New Roman" w:eastAsia="宋体"/>
          <w:kern w:val="2"/>
          <w:szCs w:val="24"/>
        </w:rPr>
        <w:t>点为安全带下有效固定点。</w:t>
      </w:r>
    </w:p>
    <w:p>
      <w:pPr>
        <w:pStyle w:val="82"/>
        <w:wordWrap/>
        <w:spacing w:before="0" w:beforeLines="0" w:after="0" w:afterLines="0"/>
        <w:rPr>
          <w:rFonts w:ascii="Times New Roman" w:eastAsia="宋体"/>
          <w:kern w:val="2"/>
          <w:szCs w:val="24"/>
        </w:rPr>
      </w:pPr>
      <w:bookmarkStart w:id="492" w:name="_Ref276823984"/>
      <w:r>
        <w:rPr>
          <w:rFonts w:hint="eastAsia" w:ascii="Times New Roman" w:eastAsia="宋体"/>
          <w:kern w:val="2"/>
          <w:szCs w:val="24"/>
        </w:rPr>
        <w:t>C点位于R点铅垂上方450 mm处，如果按E.1.5定义的距离</w:t>
      </w:r>
      <w:r>
        <w:rPr>
          <w:rFonts w:ascii="Times New Roman" w:eastAsia="宋体"/>
          <w:kern w:val="2"/>
          <w:szCs w:val="24"/>
        </w:rPr>
        <w:t>S</w:t>
      </w:r>
      <w:r>
        <w:rPr>
          <w:rFonts w:hint="eastAsia" w:ascii="Times New Roman" w:eastAsia="宋体"/>
          <w:kern w:val="2"/>
          <w:szCs w:val="24"/>
        </w:rPr>
        <w:t>不小于280 mm，且制造商选用</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_Ref307232668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4.3.3.3　</w:t>
      </w:r>
      <w:r>
        <w:rPr>
          <w:rFonts w:ascii="Times New Roman" w:eastAsia="宋体"/>
          <w:kern w:val="2"/>
          <w:szCs w:val="24"/>
        </w:rPr>
        <w:fldChar w:fldCharType="end"/>
      </w:r>
      <w:r>
        <w:rPr>
          <w:rFonts w:hint="eastAsia" w:ascii="Times New Roman" w:eastAsia="宋体"/>
          <w:kern w:val="2"/>
          <w:szCs w:val="24"/>
        </w:rPr>
        <w:t>规定的换算公式BR=260 mm+0.8S，则C和R之间的铅垂距离应为500 mm。</w:t>
      </w:r>
      <w:bookmarkEnd w:id="492"/>
    </w:p>
    <w:p>
      <w:pPr>
        <w:pStyle w:val="82"/>
        <w:wordWrap/>
        <w:spacing w:before="0" w:beforeLines="0" w:after="0" w:afterLines="0"/>
      </w:pPr>
      <w:r>
        <w:rPr>
          <w:rFonts w:hint="eastAsia" w:ascii="Times New Roman" w:eastAsia="宋体"/>
          <w:kern w:val="2"/>
          <w:szCs w:val="24"/>
        </w:rPr>
        <w:t>α</w:t>
      </w:r>
      <w:r>
        <w:rPr>
          <w:rFonts w:hint="eastAsia" w:ascii="Times New Roman" w:eastAsia="宋体"/>
          <w:kern w:val="2"/>
          <w:szCs w:val="24"/>
          <w:vertAlign w:val="subscript"/>
        </w:rPr>
        <w:t>1</w:t>
      </w:r>
      <w:r>
        <w:rPr>
          <w:rFonts w:hint="eastAsia" w:ascii="Times New Roman" w:eastAsia="宋体"/>
          <w:kern w:val="2"/>
          <w:szCs w:val="24"/>
        </w:rPr>
        <w:t>和α</w:t>
      </w:r>
      <w:r>
        <w:rPr>
          <w:rFonts w:hint="eastAsia" w:ascii="Times New Roman" w:eastAsia="宋体"/>
          <w:kern w:val="2"/>
          <w:szCs w:val="24"/>
          <w:vertAlign w:val="subscript"/>
        </w:rPr>
        <w:t>2</w:t>
      </w:r>
      <w:r>
        <w:rPr>
          <w:rFonts w:hint="eastAsia" w:ascii="Times New Roman" w:eastAsia="宋体"/>
          <w:kern w:val="2"/>
          <w:szCs w:val="24"/>
        </w:rPr>
        <w:t>为R点分别通过L</w:t>
      </w:r>
      <w:r>
        <w:rPr>
          <w:rFonts w:hint="eastAsia" w:ascii="Times New Roman" w:eastAsia="宋体"/>
          <w:kern w:val="2"/>
          <w:szCs w:val="24"/>
          <w:vertAlign w:val="subscript"/>
        </w:rPr>
        <w:t>1</w:t>
      </w:r>
      <w:r>
        <w:rPr>
          <w:rFonts w:hint="eastAsia" w:ascii="Times New Roman" w:eastAsia="宋体"/>
          <w:kern w:val="2"/>
          <w:szCs w:val="24"/>
        </w:rPr>
        <w:t>点和L</w:t>
      </w:r>
      <w:r>
        <w:rPr>
          <w:rFonts w:hint="eastAsia" w:ascii="Times New Roman" w:eastAsia="宋体"/>
          <w:kern w:val="2"/>
          <w:szCs w:val="24"/>
          <w:vertAlign w:val="subscript"/>
        </w:rPr>
        <w:t>2</w:t>
      </w:r>
      <w:r>
        <w:rPr>
          <w:rFonts w:hint="eastAsia" w:ascii="Times New Roman" w:eastAsia="宋体"/>
          <w:kern w:val="2"/>
          <w:szCs w:val="24"/>
        </w:rPr>
        <w:t>点，且垂直于座椅纵向中心面的平面与水平面之间的夹角。 如果座椅可调，则在车辆制造商说明的所有正常驾驶或乘坐位置的H点均应符合本要求。</w:t>
      </w:r>
    </w:p>
    <w:p>
      <w:pPr>
        <w:pStyle w:val="82"/>
        <w:wordWrap/>
        <w:spacing w:before="0" w:beforeLines="0" w:after="0" w:afterLines="0"/>
        <w:rPr>
          <w:rFonts w:ascii="Times New Roman" w:eastAsia="宋体"/>
          <w:kern w:val="2"/>
          <w:szCs w:val="24"/>
        </w:rPr>
      </w:pPr>
      <w:bookmarkStart w:id="493" w:name="_Ref276824075"/>
      <w:r>
        <w:rPr>
          <w:rFonts w:hint="eastAsia" w:ascii="Times New Roman" w:eastAsia="宋体"/>
          <w:kern w:val="2"/>
          <w:szCs w:val="24"/>
        </w:rPr>
        <w:t>S为安全带上有效固定点至平行于车辆纵向中心平面的基准平面P的距离（mm），P平面的位置规定如下：</w:t>
      </w:r>
      <w:bookmarkEnd w:id="493"/>
    </w:p>
    <w:p>
      <w:pPr>
        <w:pStyle w:val="177"/>
        <w:numPr>
          <w:ilvl w:val="0"/>
          <w:numId w:val="60"/>
        </w:numPr>
      </w:pPr>
      <w:r>
        <w:rPr>
          <w:rFonts w:hint="eastAsia"/>
        </w:rPr>
        <w:t>如果乘坐位置是由座椅形状确定的，P平面即为座椅的中心平面；</w:t>
      </w:r>
    </w:p>
    <w:p>
      <w:pPr>
        <w:pStyle w:val="177"/>
      </w:pPr>
      <w:r>
        <w:rPr>
          <w:rFonts w:hint="eastAsia"/>
        </w:rPr>
        <w:t>在不能确定乘坐位置的情况下：对于驾驶员座椅，P平面为通过方向盘中心且平行于汽车纵向中心面的铅垂平面（可调式方向盘应位于正中位置）；对于前排外侧乘员座椅，P平面应为与驾驶员座椅的P平面对称的平面；对于后排外侧乘员位置的P平面，应为车辆纵向平面的距离为A的平面，由制造商按下述条件确定：</w:t>
      </w:r>
    </w:p>
    <w:p>
      <w:pPr>
        <w:pStyle w:val="112"/>
      </w:pPr>
      <w:r>
        <w:rPr>
          <w:rFonts w:hint="eastAsia"/>
        </w:rPr>
        <w:t>A≥200 mm(仅供2人乘坐的长条座椅)；</w:t>
      </w:r>
    </w:p>
    <w:p>
      <w:pPr>
        <w:pStyle w:val="112"/>
      </w:pPr>
      <w:r>
        <w:rPr>
          <w:rFonts w:hint="eastAsia"/>
        </w:rPr>
        <w:t>A≥300 mm(供2人以上乘坐的长条座椅)。</w:t>
      </w:r>
    </w:p>
    <w:p>
      <w:pPr>
        <w:pStyle w:val="81"/>
        <w:spacing w:before="156" w:after="156"/>
      </w:pPr>
      <w:bookmarkStart w:id="494" w:name="_Toc277059219"/>
      <w:bookmarkStart w:id="495" w:name="_Toc307323668"/>
      <w:bookmarkStart w:id="496" w:name="_Toc277061700"/>
      <w:bookmarkStart w:id="497" w:name="_Toc282199424"/>
      <w:bookmarkStart w:id="498" w:name="_Toc337675115"/>
      <w:bookmarkStart w:id="499" w:name="_Toc282778272"/>
      <w:bookmarkStart w:id="500" w:name="_Toc276822195"/>
      <w:bookmarkStart w:id="501" w:name="_Toc276987365"/>
      <w:bookmarkStart w:id="502" w:name="_Toc279473171"/>
      <w:r>
        <w:rPr>
          <w:rFonts w:hint="eastAsia"/>
        </w:rPr>
        <w:t>位置</w:t>
      </w:r>
      <w:bookmarkEnd w:id="494"/>
      <w:bookmarkEnd w:id="495"/>
      <w:bookmarkEnd w:id="496"/>
      <w:bookmarkEnd w:id="497"/>
      <w:bookmarkEnd w:id="498"/>
      <w:bookmarkEnd w:id="499"/>
      <w:bookmarkEnd w:id="500"/>
      <w:bookmarkEnd w:id="501"/>
      <w:bookmarkEnd w:id="502"/>
    </w:p>
    <w:p>
      <w:pPr>
        <w:pStyle w:val="59"/>
        <w:ind w:firstLine="420"/>
        <w:rPr>
          <w:rFonts w:ascii="Times New Roman"/>
          <w:kern w:val="2"/>
          <w:szCs w:val="24"/>
        </w:rPr>
      </w:pPr>
      <w:r>
        <w:rPr>
          <w:rFonts w:hint="eastAsia" w:ascii="Times New Roman"/>
          <w:kern w:val="2"/>
          <w:szCs w:val="24"/>
        </w:rPr>
        <w:t>安全带有效固定点的位置见图</w:t>
      </w:r>
      <w:r>
        <w:rPr>
          <w:rFonts w:ascii="Times New Roman"/>
          <w:kern w:val="2"/>
          <w:szCs w:val="24"/>
        </w:rPr>
        <w:t>C.1</w:t>
      </w:r>
      <w:r>
        <w:rPr>
          <w:rFonts w:hint="eastAsia" w:ascii="Times New Roman"/>
          <w:kern w:val="2"/>
          <w:szCs w:val="24"/>
        </w:rPr>
        <w:t>和</w:t>
      </w:r>
      <w:r>
        <w:rPr>
          <w:rFonts w:ascii="Times New Roman"/>
          <w:kern w:val="2"/>
          <w:szCs w:val="24"/>
        </w:rPr>
        <w:t>图</w:t>
      </w:r>
      <w:r>
        <w:rPr>
          <w:rFonts w:hint="eastAsia" w:ascii="Times New Roman"/>
          <w:kern w:val="2"/>
          <w:szCs w:val="24"/>
        </w:rPr>
        <w:t>C</w:t>
      </w:r>
      <w:r>
        <w:rPr>
          <w:rFonts w:ascii="Times New Roman"/>
          <w:kern w:val="2"/>
          <w:szCs w:val="24"/>
        </w:rPr>
        <w:t>.2</w:t>
      </w:r>
      <w:r>
        <w:rPr>
          <w:rFonts w:hint="eastAsia" w:ascii="Times New Roman"/>
          <w:kern w:val="2"/>
          <w:szCs w:val="24"/>
        </w:rPr>
        <w:t>。</w:t>
      </w:r>
    </w:p>
    <w:p>
      <w:pPr>
        <w:widowControl/>
        <w:adjustRightInd/>
        <w:spacing w:line="240" w:lineRule="auto"/>
        <w:jc w:val="left"/>
        <w:rPr>
          <w:rFonts w:ascii="Times New Roman" w:hAnsi="Times New Roman"/>
          <w:szCs w:val="24"/>
        </w:rPr>
      </w:pPr>
      <w:r>
        <w:rPr>
          <w:rFonts w:ascii="Times New Roman"/>
          <w:szCs w:val="24"/>
        </w:rPr>
        <w:br w:type="page"/>
      </w:r>
    </w:p>
    <w:p>
      <w:pPr>
        <w:pStyle w:val="59"/>
        <w:ind w:firstLine="420"/>
        <w:jc w:val="right"/>
      </w:pPr>
      <w:r>
        <w:t>单位为</w:t>
      </w:r>
      <w:r>
        <w:rPr>
          <w:rFonts w:hint="eastAsia"/>
        </w:rPr>
        <w:t>mm</w:t>
      </w:r>
    </w:p>
    <w:p>
      <w:pPr>
        <w:pStyle w:val="59"/>
        <w:ind w:firstLine="420"/>
        <w:jc w:val="center"/>
      </w:pPr>
      <w:r>
        <mc:AlternateContent>
          <mc:Choice Requires="wps">
            <w:drawing>
              <wp:anchor distT="0" distB="0" distL="114300" distR="114300" simplePos="0" relativeHeight="251669504" behindDoc="0" locked="0" layoutInCell="1" allowOverlap="1">
                <wp:simplePos x="0" y="0"/>
                <wp:positionH relativeFrom="column">
                  <wp:posOffset>1379220</wp:posOffset>
                </wp:positionH>
                <wp:positionV relativeFrom="paragraph">
                  <wp:posOffset>1662430</wp:posOffset>
                </wp:positionV>
                <wp:extent cx="895350" cy="336550"/>
                <wp:effectExtent l="0" t="0" r="0" b="6350"/>
                <wp:wrapNone/>
                <wp:docPr id="456" name="文本框 456"/>
                <wp:cNvGraphicFramePr/>
                <a:graphic xmlns:a="http://schemas.openxmlformats.org/drawingml/2006/main">
                  <a:graphicData uri="http://schemas.microsoft.com/office/word/2010/wordprocessingShape">
                    <wps:wsp>
                      <wps:cNvSpPr txBox="1"/>
                      <wps:spPr>
                        <a:xfrm>
                          <a:off x="0" y="0"/>
                          <a:ext cx="895350" cy="33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sz w:val="15"/>
                                <w:szCs w:val="15"/>
                              </w:rPr>
                            </w:pPr>
                            <w:r>
                              <w:rPr>
                                <w:rFonts w:hint="eastAsia" w:ascii="Times New Roman" w:hAnsi="Times New Roman" w:eastAsia="楷体"/>
                                <w:sz w:val="15"/>
                                <w:szCs w:val="15"/>
                              </w:rPr>
                              <w:t>C</w:t>
                            </w:r>
                            <w:r>
                              <w:rPr>
                                <w:rFonts w:ascii="Times New Roman" w:hAnsi="Times New Roman" w:eastAsia="楷体"/>
                                <w:sz w:val="15"/>
                                <w:szCs w:val="15"/>
                              </w:rPr>
                              <w:t>.1.3</w:t>
                            </w:r>
                            <w:r>
                              <w:rPr>
                                <w:rFonts w:hint="eastAsia" w:ascii="楷体" w:hAnsi="楷体" w:eastAsia="楷体"/>
                                <w:sz w:val="15"/>
                                <w:szCs w:val="15"/>
                              </w:rPr>
                              <w:t>规定的距离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130.9pt;height:26.5pt;width:70.5pt;z-index:251669504;mso-width-relative:page;mso-height-relative:page;" fillcolor="#FFFFFF [3201]" filled="t" stroked="f" coordsize="21600,21600" o:gfxdata="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rYKIbWAAAACwEAAA8A&#10;AAAAAAAAAQAgAAAAIgAAAGRycy9kb3ducmV2LnhtbFBLAQIUABQAAAAIAIdO4kDAjMa1UgIAAKAE&#10;AAAOAAAAAAAAAAEAIAAAACUBAABkcnMvZTJvRG9jLnhtbFBLBQYAAAAABgAGAFkBAADpBQAAAAA=&#10;">
                <v:fill on="t" focussize="0,0"/>
                <v:stroke on="f" weight="0.5pt"/>
                <v:imagedata o:title=""/>
                <o:lock v:ext="edit" aspectratio="f"/>
                <v:textbox>
                  <w:txbxContent>
                    <w:p>
                      <w:pPr>
                        <w:rPr>
                          <w:rFonts w:ascii="楷体" w:hAnsi="楷体" w:eastAsia="楷体"/>
                          <w:sz w:val="15"/>
                          <w:szCs w:val="15"/>
                        </w:rPr>
                      </w:pPr>
                      <w:r>
                        <w:rPr>
                          <w:rFonts w:hint="eastAsia" w:ascii="Times New Roman" w:hAnsi="Times New Roman" w:eastAsia="楷体"/>
                          <w:sz w:val="15"/>
                          <w:szCs w:val="15"/>
                        </w:rPr>
                        <w:t>C</w:t>
                      </w:r>
                      <w:r>
                        <w:rPr>
                          <w:rFonts w:ascii="Times New Roman" w:hAnsi="Times New Roman" w:eastAsia="楷体"/>
                          <w:sz w:val="15"/>
                          <w:szCs w:val="15"/>
                        </w:rPr>
                        <w:t>.1.3</w:t>
                      </w:r>
                      <w:r>
                        <w:rPr>
                          <w:rFonts w:hint="eastAsia" w:ascii="楷体" w:hAnsi="楷体" w:eastAsia="楷体"/>
                          <w:sz w:val="15"/>
                          <w:szCs w:val="15"/>
                        </w:rPr>
                        <w:t>规定的距离</w:t>
                      </w:r>
                    </w:p>
                  </w:txbxContent>
                </v:textbox>
              </v:shape>
            </w:pict>
          </mc:Fallback>
        </mc:AlternateContent>
      </w:r>
      <w:r>
        <w:drawing>
          <wp:inline distT="0" distB="0" distL="0" distR="0">
            <wp:extent cx="4100195" cy="5250815"/>
            <wp:effectExtent l="0" t="0" r="0" b="6985"/>
            <wp:docPr id="3" name="图片 3" descr="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B"/>
                    <pic:cNvPicPr>
                      <a:picLocks noChangeAspect="1" noChangeArrowheads="1"/>
                    </pic:cNvPicPr>
                  </pic:nvPicPr>
                  <pic:blipFill>
                    <a:blip r:embed="rId31">
                      <a:lum bright="-40000" contrast="80000"/>
                      <a:extLst>
                        <a:ext uri="{28A0092B-C50C-407E-A947-70E740481C1C}">
                          <a14:useLocalDpi xmlns:a14="http://schemas.microsoft.com/office/drawing/2010/main" val="0"/>
                        </a:ext>
                      </a:extLst>
                    </a:blip>
                    <a:srcRect/>
                    <a:stretch>
                      <a:fillRect/>
                    </a:stretch>
                  </pic:blipFill>
                  <pic:spPr>
                    <a:xfrm>
                      <a:off x="0" y="0"/>
                      <a:ext cx="4102100" cy="5252915"/>
                    </a:xfrm>
                    <a:prstGeom prst="rect">
                      <a:avLst/>
                    </a:prstGeom>
                    <a:noFill/>
                    <a:ln>
                      <a:noFill/>
                    </a:ln>
                  </pic:spPr>
                </pic:pic>
              </a:graphicData>
            </a:graphic>
          </wp:inline>
        </w:drawing>
      </w:r>
    </w:p>
    <w:p>
      <w:pPr>
        <w:pStyle w:val="182"/>
      </w:pPr>
      <w:r>
        <w:rPr>
          <w:rFonts w:hint="eastAsia"/>
        </w:rPr>
        <w:t>M</w:t>
      </w:r>
      <w:r>
        <w:rPr>
          <w:rFonts w:hint="eastAsia"/>
          <w:vertAlign w:val="subscript"/>
        </w:rPr>
        <w:t>1</w:t>
      </w:r>
      <w:r>
        <w:rPr>
          <w:rFonts w:hint="eastAsia"/>
        </w:rPr>
        <w:t>和N</w:t>
      </w:r>
      <w:r>
        <w:rPr>
          <w:rFonts w:hint="eastAsia"/>
          <w:vertAlign w:val="subscript"/>
        </w:rPr>
        <w:t>1</w:t>
      </w:r>
      <w:r>
        <w:rPr>
          <w:rFonts w:hint="eastAsia"/>
        </w:rPr>
        <w:t>类车后排中间乘坐位置为≥240 mm。</w:t>
      </w:r>
    </w:p>
    <w:p>
      <w:pPr>
        <w:pStyle w:val="253"/>
        <w:widowControl/>
        <w:numPr>
          <w:ilvl w:val="0"/>
          <w:numId w:val="6"/>
        </w:numPr>
        <w:autoSpaceDE w:val="0"/>
        <w:autoSpaceDN w:val="0"/>
        <w:adjustRightInd/>
        <w:spacing w:line="14" w:lineRule="exact"/>
        <w:ind w:firstLineChars="0"/>
        <w:jc w:val="center"/>
        <w:rPr>
          <w:rFonts w:ascii="黑体" w:hAnsi="黑体" w:eastAsia="黑体"/>
          <w:vanish/>
          <w:kern w:val="0"/>
          <w:sz w:val="2"/>
        </w:rPr>
      </w:pPr>
      <w:bookmarkStart w:id="503" w:name="_Ref276824032"/>
    </w:p>
    <w:p>
      <w:pPr>
        <w:pStyle w:val="86"/>
        <w:numPr>
          <w:ilvl w:val="0"/>
          <w:numId w:val="0"/>
        </w:numPr>
        <w:spacing w:before="156" w:after="156"/>
        <w:ind w:left="3261"/>
        <w:jc w:val="both"/>
      </w:pPr>
      <w:r>
        <w:rPr>
          <w:rFonts w:hint="eastAsia"/>
        </w:rPr>
        <w:t>图C</w:t>
      </w:r>
      <w:r>
        <w:t xml:space="preserve">.1 </w:t>
      </w:r>
      <w:r>
        <w:rPr>
          <w:rFonts w:hint="eastAsia"/>
        </w:rPr>
        <w:t>安全带有效固定点的范围</w:t>
      </w:r>
      <w:bookmarkEnd w:id="503"/>
    </w:p>
    <w:p>
      <w:pPr>
        <w:pStyle w:val="59"/>
        <w:ind w:firstLine="420"/>
      </w:pPr>
      <w:r>
        <w:rPr>
          <w:rFonts w:hint="eastAsia"/>
        </w:rPr>
        <w:drawing>
          <wp:inline distT="0" distB="0" distL="0" distR="0">
            <wp:extent cx="4015105" cy="1647190"/>
            <wp:effectExtent l="0" t="0" r="4445" b="0"/>
            <wp:docPr id="24" name="图片 24" descr="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15105" cy="1647190"/>
                    </a:xfrm>
                    <a:prstGeom prst="rect">
                      <a:avLst/>
                    </a:prstGeom>
                    <a:noFill/>
                    <a:ln>
                      <a:noFill/>
                    </a:ln>
                  </pic:spPr>
                </pic:pic>
              </a:graphicData>
            </a:graphic>
          </wp:inline>
        </w:drawing>
      </w:r>
    </w:p>
    <w:p>
      <w:pPr>
        <w:pStyle w:val="86"/>
        <w:numPr>
          <w:ilvl w:val="0"/>
          <w:numId w:val="0"/>
        </w:numPr>
        <w:spacing w:before="156" w:after="156"/>
      </w:pPr>
      <w:bookmarkStart w:id="504" w:name="_Ref276824067"/>
      <w:r>
        <w:rPr>
          <w:rFonts w:hint="eastAsia"/>
        </w:rPr>
        <w:t>图C</w:t>
      </w:r>
      <w:r>
        <w:t xml:space="preserve">.2 </w:t>
      </w:r>
      <w:r>
        <w:rPr>
          <w:rFonts w:hint="eastAsia"/>
        </w:rPr>
        <w:t>上有效固定点范围</w:t>
      </w:r>
      <w:bookmarkEnd w:id="504"/>
    </w:p>
    <w:p>
      <w:pPr>
        <w:pStyle w:val="201"/>
        <w:rPr>
          <w:vanish w:val="0"/>
        </w:rPr>
      </w:pPr>
      <w:r>
        <w:br w:type="page"/>
      </w:r>
    </w:p>
    <w:p>
      <w:pPr>
        <w:pStyle w:val="202"/>
        <w:rPr>
          <w:vanish w:val="0"/>
        </w:rPr>
      </w:pPr>
    </w:p>
    <w:p>
      <w:pPr>
        <w:pStyle w:val="79"/>
        <w:spacing w:before="78" w:after="156"/>
      </w:pPr>
      <w:r>
        <w:br w:type="textWrapping"/>
      </w:r>
      <w:bookmarkStart w:id="505" w:name="_Toc96705342"/>
      <w:r>
        <w:rPr>
          <w:rFonts w:hint="eastAsia"/>
        </w:rPr>
        <w:t>（规范性）</w:t>
      </w:r>
      <w:r>
        <w:br w:type="textWrapping"/>
      </w:r>
      <w:r>
        <w:rPr>
          <w:rFonts w:hint="eastAsia"/>
        </w:rPr>
        <w:t>人体模块示意图</w:t>
      </w:r>
      <w:bookmarkEnd w:id="505"/>
    </w:p>
    <w:p>
      <w:pPr>
        <w:pStyle w:val="59"/>
        <w:ind w:firstLine="420"/>
        <w:jc w:val="right"/>
      </w:pPr>
      <w:r>
        <w:t>单位为</w:t>
      </w:r>
      <w:r>
        <w:rPr>
          <w:rFonts w:hint="eastAsia"/>
        </w:rPr>
        <w:t>mm</w:t>
      </w:r>
    </w:p>
    <w:p>
      <w:pPr>
        <w:pStyle w:val="59"/>
        <w:ind w:firstLine="420"/>
      </w:pPr>
      <w:r>
        <w:rPr>
          <w:rFonts w:hint="eastAsia"/>
        </w:rPr>
        <w:drawing>
          <wp:anchor distT="0" distB="0" distL="114300" distR="114300" simplePos="0" relativeHeight="251662336" behindDoc="0" locked="0" layoutInCell="1" allowOverlap="1">
            <wp:simplePos x="0" y="0"/>
            <wp:positionH relativeFrom="margin">
              <wp:posOffset>2493010</wp:posOffset>
            </wp:positionH>
            <wp:positionV relativeFrom="margin">
              <wp:posOffset>1042670</wp:posOffset>
            </wp:positionV>
            <wp:extent cx="2847975" cy="2533650"/>
            <wp:effectExtent l="0" t="0" r="9525" b="0"/>
            <wp:wrapSquare wrapText="bothSides"/>
            <wp:docPr id="27" name="图片 27" descr="图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47975" cy="253365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216535</wp:posOffset>
            </wp:positionH>
            <wp:positionV relativeFrom="paragraph">
              <wp:posOffset>84455</wp:posOffset>
            </wp:positionV>
            <wp:extent cx="1933575" cy="2466975"/>
            <wp:effectExtent l="0" t="0" r="9525" b="9525"/>
            <wp:wrapNone/>
            <wp:docPr id="26" name="图片 26" descr="图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33575" cy="2466975"/>
                    </a:xfrm>
                    <a:prstGeom prst="rect">
                      <a:avLst/>
                    </a:prstGeom>
                    <a:noFill/>
                    <a:ln>
                      <a:noFill/>
                    </a:ln>
                  </pic:spPr>
                </pic:pic>
              </a:graphicData>
            </a:graphic>
          </wp:anchor>
        </w:drawing>
      </w:r>
    </w:p>
    <w:p>
      <w:pPr>
        <w:pStyle w:val="59"/>
        <w:ind w:firstLine="420"/>
      </w:pPr>
    </w:p>
    <w:p>
      <w:pPr>
        <w:pStyle w:val="59"/>
        <w:ind w:firstLine="420"/>
      </w:pPr>
    </w:p>
    <w:p>
      <w:pPr>
        <w:pStyle w:val="59"/>
        <w:ind w:firstLine="420"/>
      </w:pPr>
      <w:r>
        <w:rPr>
          <w:rFonts w:hint="eastAsia"/>
        </w:rPr>
        <w:t xml:space="preserve">                              </w:t>
      </w:r>
    </w:p>
    <w:p>
      <w:pPr>
        <w:pStyle w:val="59"/>
        <w:ind w:firstLine="420"/>
      </w:pPr>
    </w:p>
    <w:p>
      <w:pPr>
        <w:pStyle w:val="59"/>
        <w:ind w:firstLine="420"/>
      </w:pPr>
    </w:p>
    <w:p>
      <w:pPr>
        <w:pStyle w:val="59"/>
        <w:ind w:firstLine="420"/>
      </w:pPr>
    </w:p>
    <w:p>
      <w:pPr>
        <w:pStyle w:val="59"/>
        <w:ind w:firstLine="420"/>
      </w:pPr>
    </w:p>
    <w:p>
      <w:pPr>
        <w:pStyle w:val="59"/>
        <w:ind w:firstLine="420"/>
      </w:pPr>
    </w:p>
    <w:p>
      <w:pPr>
        <w:pStyle w:val="59"/>
        <w:ind w:firstLine="420"/>
      </w:pPr>
    </w:p>
    <w:p>
      <w:pPr>
        <w:pStyle w:val="59"/>
        <w:ind w:firstLine="420"/>
      </w:pPr>
    </w:p>
    <w:p>
      <w:pPr>
        <w:pStyle w:val="59"/>
        <w:ind w:firstLine="420"/>
      </w:pPr>
    </w:p>
    <w:p>
      <w:pPr>
        <w:pStyle w:val="59"/>
        <w:ind w:firstLine="420"/>
        <w:jc w:val="center"/>
      </w:pPr>
    </w:p>
    <w:p>
      <w:pPr>
        <w:pStyle w:val="59"/>
        <w:ind w:firstLine="1785" w:firstLineChars="850"/>
        <w:jc w:val="left"/>
      </w:pPr>
    </w:p>
    <w:p>
      <w:pPr>
        <w:pStyle w:val="59"/>
        <w:ind w:firstLine="1785" w:firstLineChars="0"/>
        <w:jc w:val="left"/>
      </w:pPr>
      <w:r>
        <w:rPr>
          <w:rFonts w:hint="eastAsia"/>
        </w:rPr>
        <w:t>a)                                             b)</w:t>
      </w:r>
    </w:p>
    <w:p>
      <w:pPr>
        <w:pStyle w:val="59"/>
        <w:ind w:firstLineChars="0"/>
        <w:jc w:val="left"/>
      </w:pPr>
      <w:r>
        <w:drawing>
          <wp:anchor distT="0" distB="0" distL="114300" distR="114300" simplePos="0" relativeHeight="251663360" behindDoc="0" locked="0" layoutInCell="1" allowOverlap="1">
            <wp:simplePos x="0" y="0"/>
            <wp:positionH relativeFrom="margin">
              <wp:posOffset>1328420</wp:posOffset>
            </wp:positionH>
            <wp:positionV relativeFrom="margin">
              <wp:posOffset>4074795</wp:posOffset>
            </wp:positionV>
            <wp:extent cx="3676650" cy="2924175"/>
            <wp:effectExtent l="0" t="0" r="0" b="9525"/>
            <wp:wrapSquare wrapText="bothSides"/>
            <wp:docPr id="28" name="图片 28" descr="图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76650" cy="2924175"/>
                    </a:xfrm>
                    <a:prstGeom prst="rect">
                      <a:avLst/>
                    </a:prstGeom>
                    <a:noFill/>
                    <a:ln>
                      <a:noFill/>
                    </a:ln>
                  </pic:spPr>
                </pic:pic>
              </a:graphicData>
            </a:graphic>
          </wp:anchor>
        </w:drawing>
      </w: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Chars="0"/>
        <w:jc w:val="left"/>
      </w:pPr>
    </w:p>
    <w:p>
      <w:pPr>
        <w:pStyle w:val="59"/>
        <w:ind w:firstLine="105" w:firstLineChars="50"/>
        <w:jc w:val="center"/>
      </w:pPr>
      <w:r>
        <w:rPr>
          <w:rFonts w:hint="eastAsia"/>
        </w:rPr>
        <w:t>c)</w:t>
      </w:r>
    </w:p>
    <w:p>
      <w:pPr>
        <w:pStyle w:val="59"/>
        <w:ind w:firstLineChars="0"/>
        <w:jc w:val="left"/>
      </w:pPr>
    </w:p>
    <w:p>
      <w:pPr>
        <w:widowControl/>
        <w:adjustRightInd/>
        <w:spacing w:line="240" w:lineRule="auto"/>
        <w:jc w:val="left"/>
        <w:rPr>
          <w:rFonts w:ascii="宋体" w:hAnsi="Times New Roman"/>
          <w:kern w:val="0"/>
          <w:szCs w:val="20"/>
        </w:rPr>
      </w:pPr>
      <w:r>
        <w:rPr>
          <w:rFonts w:ascii="宋体" w:hAnsi="Times New Roman"/>
          <w:kern w:val="0"/>
          <w:szCs w:val="20"/>
        </w:rPr>
        <w:br w:type="page"/>
      </w:r>
    </w:p>
    <w:p>
      <w:pPr>
        <w:widowControl/>
        <w:adjustRightInd/>
        <w:spacing w:line="240" w:lineRule="auto"/>
        <w:jc w:val="right"/>
      </w:pPr>
      <w:r>
        <w:rPr>
          <w:rFonts w:hint="eastAsia"/>
        </w:rPr>
        <w:t>单位为mm</w:t>
      </w:r>
    </w:p>
    <w:p>
      <w:pPr>
        <w:widowControl/>
        <w:adjustRightInd/>
        <w:spacing w:line="240" w:lineRule="auto"/>
        <w:jc w:val="center"/>
        <w:rPr>
          <w:rFonts w:ascii="宋体" w:hAnsi="Times New Roman"/>
          <w:kern w:val="0"/>
          <w:szCs w:val="20"/>
        </w:rPr>
      </w:pPr>
      <w:r>
        <w:drawing>
          <wp:inline distT="0" distB="0" distL="0" distR="0">
            <wp:extent cx="4547870" cy="4319270"/>
            <wp:effectExtent l="0" t="0" r="508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4553458" cy="4324730"/>
                    </a:xfrm>
                    <a:prstGeom prst="rect">
                      <a:avLst/>
                    </a:prstGeom>
                  </pic:spPr>
                </pic:pic>
              </a:graphicData>
            </a:graphic>
          </wp:inline>
        </w:drawing>
      </w:r>
    </w:p>
    <w:p>
      <w:pPr>
        <w:widowControl/>
        <w:adjustRightInd/>
        <w:spacing w:line="240" w:lineRule="auto"/>
        <w:jc w:val="center"/>
        <w:rPr>
          <w:rFonts w:ascii="宋体" w:hAnsi="Times New Roman"/>
          <w:kern w:val="0"/>
          <w:szCs w:val="20"/>
        </w:rPr>
      </w:pPr>
      <w:r>
        <w:rPr>
          <w:rFonts w:hint="eastAsia" w:ascii="宋体" w:hAnsi="Times New Roman"/>
          <w:kern w:val="0"/>
          <w:szCs w:val="20"/>
        </w:rPr>
        <w:t>d)</w:t>
      </w:r>
    </w:p>
    <w:p>
      <w:pPr>
        <w:pStyle w:val="86"/>
        <w:numPr>
          <w:ilvl w:val="0"/>
          <w:numId w:val="0"/>
        </w:numPr>
        <w:spacing w:before="156" w:after="156"/>
      </w:pPr>
      <w:bookmarkStart w:id="506" w:name="_Ref83304943"/>
      <w:r>
        <w:t>图</w:t>
      </w:r>
      <w:r>
        <w:rPr>
          <w:rFonts w:hint="eastAsia"/>
        </w:rPr>
        <w:t>D</w:t>
      </w:r>
      <w:r>
        <w:t xml:space="preserve">.1 </w:t>
      </w:r>
      <w:r>
        <w:rPr>
          <w:rFonts w:hint="eastAsia"/>
        </w:rPr>
        <w:t>下人体模块</w:t>
      </w:r>
      <w:bookmarkEnd w:id="506"/>
    </w:p>
    <w:p>
      <w:pPr>
        <w:pStyle w:val="59"/>
        <w:ind w:firstLine="420"/>
        <w:jc w:val="center"/>
      </w:pPr>
      <w:r>
        <w:rPr>
          <w:rFonts w:hint="eastAsia"/>
        </w:rPr>
        <w:drawing>
          <wp:inline distT="0" distB="0" distL="0" distR="0">
            <wp:extent cx="2971800" cy="2038350"/>
            <wp:effectExtent l="0" t="0" r="0" b="0"/>
            <wp:docPr id="451" name="图片 451" descr="图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图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71800" cy="2038350"/>
                    </a:xfrm>
                    <a:prstGeom prst="rect">
                      <a:avLst/>
                    </a:prstGeom>
                    <a:noFill/>
                    <a:ln>
                      <a:noFill/>
                    </a:ln>
                  </pic:spPr>
                </pic:pic>
              </a:graphicData>
            </a:graphic>
          </wp:inline>
        </w:drawing>
      </w:r>
    </w:p>
    <w:p>
      <w:pPr>
        <w:pStyle w:val="182"/>
      </w:pPr>
      <w:r>
        <w:rPr>
          <w:rFonts w:hint="eastAsia"/>
        </w:rPr>
        <w:t>为了固定拉带，可通过增加两个棱边和/或螺栓的方式改动肩带的牵引装置，目的是在试验中，避免拉带松脱。</w:t>
      </w:r>
    </w:p>
    <w:p>
      <w:pPr>
        <w:pStyle w:val="86"/>
        <w:numPr>
          <w:ilvl w:val="0"/>
          <w:numId w:val="0"/>
        </w:numPr>
        <w:spacing w:before="156" w:after="156"/>
      </w:pPr>
      <w:r>
        <w:rPr>
          <w:rFonts w:hint="eastAsia"/>
        </w:rPr>
        <w:t>图D</w:t>
      </w:r>
      <w:r>
        <w:t xml:space="preserve">.2 </w:t>
      </w:r>
      <w:r>
        <w:rPr>
          <w:rFonts w:hint="eastAsia"/>
        </w:rPr>
        <w:t>上人体模块</w:t>
      </w:r>
    </w:p>
    <w:p>
      <w:pPr>
        <w:pStyle w:val="201"/>
        <w:rPr>
          <w:vanish w:val="0"/>
        </w:rPr>
      </w:pPr>
      <w:r>
        <w:br w:type="page"/>
      </w:r>
    </w:p>
    <w:p>
      <w:pPr>
        <w:pStyle w:val="202"/>
        <w:rPr>
          <w:vanish w:val="0"/>
        </w:rPr>
      </w:pPr>
    </w:p>
    <w:p>
      <w:pPr>
        <w:pStyle w:val="79"/>
        <w:spacing w:before="78" w:after="156"/>
      </w:pPr>
      <w:r>
        <w:br w:type="textWrapping"/>
      </w:r>
      <w:bookmarkStart w:id="507" w:name="_Toc96705343"/>
      <w:r>
        <w:rPr>
          <w:rFonts w:hint="eastAsia"/>
        </w:rPr>
        <w:t>（规范性）</w:t>
      </w:r>
      <w:r>
        <w:br w:type="textWrapping"/>
      </w:r>
      <w:r>
        <w:rPr>
          <w:rFonts w:hint="eastAsia"/>
        </w:rPr>
        <w:t>动态试验——静态试验的替代试验</w:t>
      </w:r>
      <w:bookmarkEnd w:id="507"/>
    </w:p>
    <w:p>
      <w:pPr>
        <w:pStyle w:val="81"/>
        <w:spacing w:before="156" w:after="156"/>
      </w:pPr>
      <w:bookmarkStart w:id="508" w:name="_Toc337675118"/>
      <w:bookmarkStart w:id="509" w:name="_Toc282778275"/>
      <w:bookmarkStart w:id="510" w:name="_Toc307323671"/>
      <w:bookmarkStart w:id="511" w:name="_Ref307231581"/>
      <w:r>
        <w:rPr>
          <w:rFonts w:hint="eastAsia"/>
          <w:kern w:val="0"/>
        </w:rPr>
        <w:t>概述</w:t>
      </w:r>
      <w:bookmarkEnd w:id="508"/>
      <w:bookmarkEnd w:id="509"/>
      <w:bookmarkEnd w:id="510"/>
      <w:bookmarkEnd w:id="511"/>
    </w:p>
    <w:p>
      <w:pPr>
        <w:pStyle w:val="59"/>
        <w:ind w:firstLine="420"/>
      </w:pPr>
      <w:r>
        <w:rPr>
          <w:rFonts w:hint="eastAsia"/>
        </w:rPr>
        <w:t>本附录的动态试验可代替本标准的</w:t>
      </w:r>
      <w:r>
        <w:fldChar w:fldCharType="begin"/>
      </w:r>
      <w:r>
        <w:instrText xml:space="preserve"> </w:instrText>
      </w:r>
      <w:r>
        <w:rPr>
          <w:rFonts w:hint="eastAsia"/>
        </w:rPr>
        <w:instrText xml:space="preserve">REF _Ref276825504 \r \h</w:instrText>
      </w:r>
      <w:r>
        <w:instrText xml:space="preserve">  \* MERGEFORMAT </w:instrText>
      </w:r>
      <w:r>
        <w:fldChar w:fldCharType="separate"/>
      </w:r>
      <w:r>
        <w:rPr>
          <w:rFonts w:hint="eastAsia"/>
        </w:rPr>
        <w:t>5.3　</w:t>
      </w:r>
      <w:r>
        <w:fldChar w:fldCharType="end"/>
      </w:r>
      <w:r>
        <w:rPr>
          <w:rFonts w:hint="eastAsia"/>
        </w:rPr>
        <w:t>和</w:t>
      </w:r>
      <w:r>
        <w:fldChar w:fldCharType="begin"/>
      </w:r>
      <w:r>
        <w:instrText xml:space="preserve"> </w:instrText>
      </w:r>
      <w:r>
        <w:rPr>
          <w:rFonts w:hint="eastAsia"/>
        </w:rPr>
        <w:instrText xml:space="preserve">REF _Ref276825510 \r \h</w:instrText>
      </w:r>
      <w:r>
        <w:instrText xml:space="preserve">  \* MERGEFORMAT </w:instrText>
      </w:r>
      <w:r>
        <w:fldChar w:fldCharType="separate"/>
      </w:r>
      <w:r>
        <w:rPr>
          <w:rFonts w:hint="eastAsia"/>
        </w:rPr>
        <w:t>5.4　</w:t>
      </w:r>
      <w:r>
        <w:fldChar w:fldCharType="end"/>
      </w:r>
      <w:r>
        <w:rPr>
          <w:rFonts w:hint="eastAsia"/>
        </w:rPr>
        <w:t>。本试验适用于所有的乘坐位置都装用带躯干限载功能的三点式安全带的座椅组，其中包括有一个乘坐位置的安全带上固定点在座椅结构上。制造者可选择进行动态试验或静态试验。</w:t>
      </w:r>
    </w:p>
    <w:p>
      <w:pPr>
        <w:pStyle w:val="81"/>
        <w:spacing w:before="156" w:after="156"/>
      </w:pPr>
      <w:bookmarkStart w:id="512" w:name="_Toc276822219"/>
      <w:bookmarkStart w:id="513" w:name="_Toc276987389"/>
      <w:bookmarkStart w:id="514" w:name="_Toc277059242"/>
      <w:bookmarkStart w:id="515" w:name="_Toc307323672"/>
      <w:bookmarkStart w:id="516" w:name="_Toc282778276"/>
      <w:bookmarkStart w:id="517" w:name="_Toc282199428"/>
      <w:bookmarkStart w:id="518" w:name="_Toc279473175"/>
      <w:bookmarkStart w:id="519" w:name="_Toc337675119"/>
      <w:bookmarkStart w:id="520" w:name="_Toc277061704"/>
      <w:r>
        <w:rPr>
          <w:rFonts w:hint="eastAsia"/>
          <w:kern w:val="0"/>
        </w:rPr>
        <w:t>要求</w:t>
      </w:r>
      <w:bookmarkEnd w:id="512"/>
      <w:bookmarkEnd w:id="513"/>
      <w:bookmarkEnd w:id="514"/>
      <w:bookmarkEnd w:id="515"/>
      <w:bookmarkEnd w:id="516"/>
      <w:bookmarkEnd w:id="517"/>
      <w:bookmarkEnd w:id="518"/>
      <w:bookmarkEnd w:id="519"/>
      <w:bookmarkEnd w:id="520"/>
    </w:p>
    <w:p>
      <w:pPr>
        <w:pStyle w:val="82"/>
        <w:wordWrap/>
        <w:spacing w:before="0" w:beforeLines="0" w:after="0" w:afterLines="0"/>
      </w:pPr>
      <w:bookmarkStart w:id="521" w:name="_Ref276825608"/>
      <w:r>
        <w:rPr>
          <w:rFonts w:hint="eastAsia" w:ascii="Times New Roman" w:eastAsia="宋体"/>
          <w:kern w:val="2"/>
          <w:szCs w:val="24"/>
        </w:rPr>
        <w:t>试验后,固定点及周围区域应无破裂。允许限载功能有一定的破坏。</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_Ref277577957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4.3.2.5　</w:t>
      </w:r>
      <w:r>
        <w:rPr>
          <w:rFonts w:ascii="Times New Roman" w:eastAsia="宋体"/>
          <w:kern w:val="2"/>
          <w:szCs w:val="24"/>
        </w:rPr>
        <w:fldChar w:fldCharType="end"/>
      </w:r>
      <w:r>
        <w:rPr>
          <w:rFonts w:hint="eastAsia" w:ascii="Times New Roman" w:eastAsia="宋体"/>
          <w:kern w:val="2"/>
          <w:szCs w:val="24"/>
        </w:rPr>
        <w:t>规定的下有效固定点的最小空间和</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_Ref276824004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4.3.3.6　</w:t>
      </w:r>
      <w:r>
        <w:rPr>
          <w:rFonts w:ascii="Times New Roman" w:eastAsia="宋体"/>
          <w:kern w:val="2"/>
          <w:szCs w:val="24"/>
        </w:rPr>
        <w:fldChar w:fldCharType="end"/>
      </w:r>
      <w:r>
        <w:rPr>
          <w:rFonts w:hint="eastAsia" w:ascii="Times New Roman" w:eastAsia="宋体"/>
          <w:kern w:val="2"/>
          <w:szCs w:val="24"/>
        </w:rPr>
        <w:t>对上有效固定点的要求，应与下面的要求结合起来考虑。对总质量不大于2 500 kg的M</w:t>
      </w:r>
      <w:r>
        <w:rPr>
          <w:rFonts w:hint="eastAsia" w:ascii="Times New Roman" w:eastAsia="宋体"/>
          <w:kern w:val="2"/>
          <w:szCs w:val="24"/>
          <w:vertAlign w:val="subscript"/>
        </w:rPr>
        <w:t>1</w:t>
      </w:r>
      <w:r>
        <w:rPr>
          <w:rFonts w:hint="eastAsia" w:ascii="Times New Roman" w:eastAsia="宋体"/>
          <w:kern w:val="2"/>
          <w:szCs w:val="24"/>
        </w:rPr>
        <w:t>类车辆，若上固定点在座椅结构上，试验后的前向位移应在通过R点和C点的横向平面以内（见</w:t>
      </w:r>
      <w:r>
        <w:rPr>
          <w:rFonts w:ascii="Times New Roman" w:eastAsia="宋体"/>
          <w:kern w:val="2"/>
          <w:szCs w:val="24"/>
        </w:rPr>
        <w:t>图C.1</w:t>
      </w:r>
      <w:r>
        <w:rPr>
          <w:rFonts w:hint="eastAsia" w:ascii="Times New Roman" w:eastAsia="宋体"/>
          <w:kern w:val="2"/>
          <w:szCs w:val="24"/>
        </w:rPr>
        <w:t>）。对其它车辆，上固定点的前向位移不应超出R点平面前倾10</w:t>
      </w:r>
      <w:r>
        <w:rPr>
          <w:rFonts w:ascii="Times New Roman" w:eastAsia="宋体"/>
          <w:kern w:val="2"/>
          <w:szCs w:val="24"/>
        </w:rPr>
        <w:t>˚</w:t>
      </w:r>
      <w:r>
        <w:rPr>
          <w:rFonts w:hint="eastAsia" w:ascii="Times New Roman" w:eastAsia="宋体"/>
          <w:kern w:val="2"/>
          <w:szCs w:val="24"/>
        </w:rPr>
        <w:t>的范围。</w:t>
      </w:r>
      <w:bookmarkEnd w:id="521"/>
    </w:p>
    <w:p>
      <w:pPr>
        <w:pStyle w:val="82"/>
        <w:wordWrap/>
        <w:spacing w:before="0" w:beforeLines="0" w:after="0" w:afterLines="0"/>
        <w:rPr>
          <w:rFonts w:ascii="Times New Roman" w:eastAsia="宋体"/>
          <w:kern w:val="2"/>
          <w:szCs w:val="24"/>
        </w:rPr>
      </w:pPr>
      <w:r>
        <w:rPr>
          <w:rFonts w:hint="eastAsia" w:ascii="Times New Roman" w:eastAsia="宋体"/>
          <w:kern w:val="2"/>
          <w:szCs w:val="24"/>
        </w:rPr>
        <w:t>试验后，所有座椅上的乘员不借助工具仍应能利用位移和锁止机构逃离车辆。</w:t>
      </w:r>
    </w:p>
    <w:p>
      <w:pPr>
        <w:pStyle w:val="81"/>
        <w:spacing w:before="156" w:after="156"/>
        <w:rPr>
          <w:kern w:val="0"/>
        </w:rPr>
      </w:pPr>
      <w:bookmarkStart w:id="522" w:name="_Toc307323673"/>
      <w:bookmarkStart w:id="523" w:name="_Toc277061705"/>
      <w:bookmarkStart w:id="524" w:name="_Toc337675120"/>
      <w:bookmarkStart w:id="525" w:name="_Toc282199429"/>
      <w:bookmarkStart w:id="526" w:name="_Toc282778277"/>
      <w:bookmarkStart w:id="527" w:name="_Toc276987390"/>
      <w:bookmarkStart w:id="528" w:name="_Toc279473176"/>
      <w:bookmarkStart w:id="529" w:name="_Toc276822220"/>
      <w:bookmarkStart w:id="530" w:name="_Toc277059243"/>
      <w:r>
        <w:rPr>
          <w:rFonts w:hint="eastAsia"/>
          <w:kern w:val="0"/>
        </w:rPr>
        <w:t>动态试验条件</w:t>
      </w:r>
      <w:bookmarkEnd w:id="522"/>
      <w:bookmarkEnd w:id="523"/>
      <w:bookmarkEnd w:id="524"/>
      <w:bookmarkEnd w:id="525"/>
      <w:bookmarkEnd w:id="526"/>
      <w:bookmarkEnd w:id="527"/>
      <w:bookmarkEnd w:id="528"/>
      <w:bookmarkEnd w:id="529"/>
      <w:bookmarkEnd w:id="530"/>
    </w:p>
    <w:p>
      <w:pPr>
        <w:pStyle w:val="82"/>
        <w:spacing w:before="156" w:after="156"/>
      </w:pPr>
      <w:bookmarkStart w:id="531" w:name="_Toc277061706"/>
      <w:bookmarkStart w:id="532" w:name="_Toc282778278"/>
      <w:bookmarkStart w:id="533" w:name="_Toc277059244"/>
      <w:bookmarkStart w:id="534" w:name="_Toc276987391"/>
      <w:bookmarkStart w:id="535" w:name="_Toc279473177"/>
      <w:bookmarkStart w:id="536" w:name="_Toc282199430"/>
      <w:bookmarkStart w:id="537" w:name="_Toc307323674"/>
      <w:bookmarkStart w:id="538" w:name="_Toc276822221"/>
      <w:bookmarkStart w:id="539" w:name="_Toc337675121"/>
      <w:r>
        <w:rPr>
          <w:rFonts w:hint="eastAsia"/>
        </w:rPr>
        <w:t>总则</w:t>
      </w:r>
      <w:bookmarkEnd w:id="531"/>
      <w:bookmarkEnd w:id="532"/>
      <w:bookmarkEnd w:id="533"/>
      <w:bookmarkEnd w:id="534"/>
      <w:bookmarkEnd w:id="535"/>
      <w:bookmarkEnd w:id="536"/>
      <w:bookmarkEnd w:id="537"/>
      <w:bookmarkEnd w:id="538"/>
      <w:bookmarkEnd w:id="539"/>
    </w:p>
    <w:p>
      <w:pPr>
        <w:pStyle w:val="59"/>
        <w:ind w:firstLine="420"/>
      </w:pPr>
      <w:r>
        <w:fldChar w:fldCharType="begin"/>
      </w:r>
      <w:r>
        <w:instrText xml:space="preserve"> </w:instrText>
      </w:r>
      <w:r>
        <w:rPr>
          <w:rFonts w:hint="eastAsia"/>
        </w:rPr>
        <w:instrText xml:space="preserve">REF _Ref276825560 \r \h</w:instrText>
      </w:r>
      <w:r>
        <w:instrText xml:space="preserve">  \* MERGEFORMAT </w:instrText>
      </w:r>
      <w:r>
        <w:fldChar w:fldCharType="separate"/>
      </w:r>
      <w:r>
        <w:rPr>
          <w:rFonts w:hint="eastAsia"/>
        </w:rPr>
        <w:t>5.1　</w:t>
      </w:r>
      <w:r>
        <w:fldChar w:fldCharType="end"/>
      </w:r>
      <w:r>
        <w:rPr>
          <w:rFonts w:hint="eastAsia"/>
        </w:rPr>
        <w:t>的试验条件同样适用于本试验。</w:t>
      </w:r>
    </w:p>
    <w:p>
      <w:pPr>
        <w:pStyle w:val="82"/>
        <w:spacing w:before="156" w:after="156"/>
      </w:pPr>
      <w:bookmarkStart w:id="540" w:name="_Toc279473178"/>
      <w:bookmarkStart w:id="541" w:name="_Toc276822222"/>
      <w:bookmarkStart w:id="542" w:name="_Toc277061707"/>
      <w:bookmarkStart w:id="543" w:name="_Toc307323675"/>
      <w:bookmarkStart w:id="544" w:name="_Toc337675122"/>
      <w:bookmarkStart w:id="545" w:name="_Toc277059245"/>
      <w:bookmarkStart w:id="546" w:name="_Toc282199431"/>
      <w:bookmarkStart w:id="547" w:name="_Toc282778279"/>
      <w:bookmarkStart w:id="548" w:name="_Toc276987392"/>
      <w:r>
        <w:rPr>
          <w:rFonts w:hint="eastAsia"/>
        </w:rPr>
        <w:t>安装和准备</w:t>
      </w:r>
      <w:bookmarkEnd w:id="540"/>
      <w:bookmarkEnd w:id="541"/>
      <w:bookmarkEnd w:id="542"/>
      <w:bookmarkEnd w:id="543"/>
      <w:bookmarkEnd w:id="544"/>
      <w:bookmarkEnd w:id="545"/>
      <w:bookmarkEnd w:id="546"/>
      <w:bookmarkEnd w:id="547"/>
      <w:bookmarkEnd w:id="548"/>
    </w:p>
    <w:p>
      <w:pPr>
        <w:pStyle w:val="84"/>
        <w:spacing w:before="156" w:after="156"/>
      </w:pPr>
      <w:r>
        <w:rPr>
          <w:rFonts w:hint="eastAsia"/>
        </w:rPr>
        <w:t>滑车</w:t>
      </w:r>
    </w:p>
    <w:p>
      <w:pPr>
        <w:pStyle w:val="59"/>
        <w:ind w:firstLine="420"/>
      </w:pPr>
      <w:r>
        <w:rPr>
          <w:rFonts w:hint="eastAsia"/>
        </w:rPr>
        <w:t>滑车结构应保证试验后不变形。碰撞时，垂直方向的偏离不大于5</w:t>
      </w:r>
      <w:r>
        <w:rPr>
          <w:rFonts w:ascii="Times New Roman"/>
        </w:rPr>
        <w:t>˚</w:t>
      </w:r>
      <w:r>
        <w:rPr>
          <w:rFonts w:hint="eastAsia"/>
        </w:rPr>
        <w:t>，水平方向的偏离不大于2</w:t>
      </w:r>
      <w:r>
        <w:rPr>
          <w:rFonts w:ascii="Times New Roman"/>
        </w:rPr>
        <w:t>˚</w:t>
      </w:r>
      <w:r>
        <w:rPr>
          <w:rFonts w:hint="eastAsia"/>
        </w:rPr>
        <w:t>。</w:t>
      </w:r>
    </w:p>
    <w:p>
      <w:pPr>
        <w:pStyle w:val="84"/>
        <w:spacing w:before="156" w:after="156"/>
      </w:pPr>
      <w:r>
        <w:rPr>
          <w:rFonts w:hint="eastAsia"/>
        </w:rPr>
        <w:t>车身构件的固定</w:t>
      </w:r>
    </w:p>
    <w:p>
      <w:pPr>
        <w:pStyle w:val="59"/>
        <w:ind w:firstLine="420"/>
      </w:pPr>
      <w:r>
        <w:rPr>
          <w:rFonts w:hint="eastAsia"/>
        </w:rPr>
        <w:t>按</w:t>
      </w:r>
      <w:r>
        <w:fldChar w:fldCharType="begin"/>
      </w:r>
      <w:r>
        <w:instrText xml:space="preserve"> </w:instrText>
      </w:r>
      <w:r>
        <w:rPr>
          <w:rFonts w:hint="eastAsia"/>
        </w:rPr>
        <w:instrText xml:space="preserve">REF _Ref276825569 \r \h</w:instrText>
      </w:r>
      <w:r>
        <w:instrText xml:space="preserve">  \* MERGEFORMAT </w:instrText>
      </w:r>
      <w:r>
        <w:fldChar w:fldCharType="separate"/>
      </w:r>
      <w:r>
        <w:rPr>
          <w:rFonts w:hint="eastAsia"/>
        </w:rPr>
        <w:t>5.2　</w:t>
      </w:r>
      <w:r>
        <w:fldChar w:fldCharType="end"/>
      </w:r>
      <w:r>
        <w:rPr>
          <w:rFonts w:hint="eastAsia"/>
        </w:rPr>
        <w:t>的要求，将与座椅固定装置及安全带固定点相关的车辆基本结构固定在滑车上。</w:t>
      </w:r>
    </w:p>
    <w:p>
      <w:pPr>
        <w:pStyle w:val="84"/>
        <w:spacing w:before="156" w:after="156"/>
      </w:pPr>
      <w:r>
        <w:rPr>
          <w:rFonts w:hint="eastAsia"/>
        </w:rPr>
        <w:t>约束系统</w:t>
      </w:r>
    </w:p>
    <w:p>
      <w:pPr>
        <w:pStyle w:val="85"/>
        <w:spacing w:before="0" w:beforeLines="0" w:after="0" w:afterLines="0"/>
        <w:rPr>
          <w:rFonts w:ascii="Times New Roman" w:eastAsia="宋体"/>
          <w:kern w:val="2"/>
          <w:szCs w:val="24"/>
        </w:rPr>
      </w:pPr>
      <w:r>
        <w:rPr>
          <w:rFonts w:hint="eastAsia" w:ascii="Times New Roman" w:eastAsia="宋体"/>
          <w:kern w:val="2"/>
          <w:szCs w:val="24"/>
        </w:rPr>
        <w:t>约束系统（座椅总成、安全带总成和限载装置）应按制造要求固定在车身构件上。与试验座椅相对方向的车内部件（如仪表板、座椅等）可安装在滑车上。如果有前方气囊，应断开触发装置。</w:t>
      </w:r>
    </w:p>
    <w:p>
      <w:pPr>
        <w:pStyle w:val="85"/>
        <w:spacing w:before="0" w:beforeLines="0" w:after="0" w:afterLines="0"/>
        <w:rPr>
          <w:rFonts w:ascii="Times New Roman" w:eastAsia="宋体"/>
          <w:kern w:val="2"/>
          <w:szCs w:val="24"/>
        </w:rPr>
      </w:pPr>
      <w:r>
        <w:rPr>
          <w:rFonts w:hint="eastAsia" w:ascii="Times New Roman" w:eastAsia="宋体"/>
          <w:kern w:val="2"/>
          <w:szCs w:val="24"/>
        </w:rPr>
        <w:t>除座椅总成、安全带总成和限载装置外的某些约束系统的元件可不安装在台车上；应制造商要求并经检验机构同意时可用等效零件替代。等效零件的尺寸与原件相近，其结构应选对试验结果影响最恶劣的型式。</w:t>
      </w:r>
    </w:p>
    <w:p>
      <w:pPr>
        <w:pStyle w:val="85"/>
        <w:spacing w:before="0" w:beforeLines="0" w:after="0" w:afterLines="0"/>
        <w:rPr>
          <w:rFonts w:ascii="Times New Roman" w:eastAsia="宋体"/>
          <w:kern w:val="2"/>
          <w:szCs w:val="24"/>
        </w:rPr>
      </w:pPr>
      <w:r>
        <w:rPr>
          <w:rFonts w:hint="eastAsia" w:ascii="Times New Roman" w:eastAsia="宋体"/>
          <w:kern w:val="2"/>
          <w:szCs w:val="24"/>
        </w:rPr>
        <w:t>按</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_Ref276825582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5.1.2　</w:t>
      </w:r>
      <w:r>
        <w:rPr>
          <w:rFonts w:ascii="Times New Roman" w:eastAsia="宋体"/>
          <w:kern w:val="2"/>
          <w:szCs w:val="24"/>
        </w:rPr>
        <w:fldChar w:fldCharType="end"/>
      </w:r>
      <w:r>
        <w:rPr>
          <w:rFonts w:hint="eastAsia" w:ascii="Times New Roman" w:eastAsia="宋体"/>
          <w:kern w:val="2"/>
          <w:szCs w:val="24"/>
        </w:rPr>
        <w:t>调节座椅，应选择最不利于固定点强度的位置，同时兼顾车内假人的安放。</w:t>
      </w:r>
    </w:p>
    <w:p>
      <w:pPr>
        <w:pStyle w:val="84"/>
        <w:spacing w:before="156" w:after="156"/>
      </w:pPr>
      <w:r>
        <w:rPr>
          <w:rFonts w:hint="eastAsia"/>
        </w:rPr>
        <w:t>假人</w:t>
      </w:r>
    </w:p>
    <w:p>
      <w:pPr>
        <w:pStyle w:val="59"/>
        <w:ind w:firstLine="420"/>
      </w:pPr>
      <w:r>
        <w:rPr>
          <w:rFonts w:hint="eastAsia"/>
        </w:rPr>
        <w:t>满足附录</w:t>
      </w:r>
      <w:r>
        <w:t>F</w:t>
      </w:r>
      <w:r>
        <w:rPr>
          <w:rFonts w:hint="eastAsia"/>
        </w:rPr>
        <w:t>规定的假人应安放在每一试验乘坐位置上，并系上安全带。</w:t>
      </w:r>
    </w:p>
    <w:p>
      <w:pPr>
        <w:pStyle w:val="82"/>
        <w:spacing w:before="156" w:after="156"/>
      </w:pPr>
      <w:bookmarkStart w:id="549" w:name="_Toc282199432"/>
      <w:bookmarkStart w:id="550" w:name="_Toc276987393"/>
      <w:bookmarkStart w:id="551" w:name="_Toc282778280"/>
      <w:bookmarkStart w:id="552" w:name="_Toc276822223"/>
      <w:bookmarkStart w:id="553" w:name="_Toc337675123"/>
      <w:bookmarkStart w:id="554" w:name="_Toc277061708"/>
      <w:bookmarkStart w:id="555" w:name="_Toc277059246"/>
      <w:bookmarkStart w:id="556" w:name="_Toc307323676"/>
      <w:bookmarkStart w:id="557" w:name="_Toc279473179"/>
      <w:r>
        <w:rPr>
          <w:rFonts w:hint="eastAsia"/>
        </w:rPr>
        <w:t>试验方法</w:t>
      </w:r>
      <w:bookmarkEnd w:id="549"/>
      <w:bookmarkEnd w:id="550"/>
      <w:bookmarkEnd w:id="551"/>
      <w:bookmarkEnd w:id="552"/>
      <w:bookmarkEnd w:id="553"/>
      <w:bookmarkEnd w:id="554"/>
      <w:bookmarkEnd w:id="555"/>
      <w:bookmarkEnd w:id="556"/>
      <w:bookmarkEnd w:id="557"/>
    </w:p>
    <w:p>
      <w:pPr>
        <w:pStyle w:val="84"/>
        <w:spacing w:before="0" w:beforeLines="0" w:after="0" w:afterLines="0"/>
        <w:rPr>
          <w:rFonts w:ascii="Times New Roman" w:eastAsia="宋体"/>
          <w:kern w:val="2"/>
          <w:szCs w:val="24"/>
        </w:rPr>
      </w:pPr>
      <w:r>
        <w:rPr>
          <w:rFonts w:hint="eastAsia" w:ascii="Times New Roman" w:eastAsia="宋体"/>
          <w:kern w:val="2"/>
          <w:szCs w:val="24"/>
        </w:rPr>
        <w:t>试验时，滑车速度为50km/h，滑车减速度应在GB 14166规定的范围内。</w:t>
      </w:r>
    </w:p>
    <w:p>
      <w:pPr>
        <w:pStyle w:val="84"/>
        <w:spacing w:before="0" w:beforeLines="0" w:after="0" w:afterLines="0"/>
        <w:rPr>
          <w:rFonts w:ascii="Times New Roman" w:eastAsia="宋体"/>
          <w:kern w:val="2"/>
          <w:szCs w:val="24"/>
        </w:rPr>
      </w:pPr>
      <w:r>
        <w:rPr>
          <w:rFonts w:hint="eastAsia" w:ascii="Times New Roman" w:eastAsia="宋体"/>
          <w:kern w:val="2"/>
          <w:szCs w:val="24"/>
        </w:rPr>
        <w:t>附加的约束装置（如预紧装置，但气囊除外）应按制造说明书的要求起爆。</w:t>
      </w:r>
    </w:p>
    <w:p>
      <w:pPr>
        <w:pStyle w:val="84"/>
        <w:spacing w:before="0" w:beforeLines="0" w:after="0" w:afterLines="0"/>
        <w:rPr>
          <w:rFonts w:ascii="Times New Roman" w:eastAsia="宋体"/>
          <w:kern w:val="2"/>
          <w:szCs w:val="24"/>
        </w:rPr>
      </w:pPr>
      <w:r>
        <w:rPr>
          <w:rFonts w:hint="eastAsia" w:ascii="Times New Roman" w:eastAsia="宋体"/>
          <w:kern w:val="2"/>
          <w:szCs w:val="24"/>
        </w:rPr>
        <w:t>安全带固定点的位移不应超出</w:t>
      </w:r>
      <w:r>
        <w:rPr>
          <w:rFonts w:ascii="Times New Roman" w:eastAsia="宋体"/>
          <w:kern w:val="2"/>
          <w:szCs w:val="24"/>
        </w:rPr>
        <w:fldChar w:fldCharType="begin"/>
      </w:r>
      <w:r>
        <w:rPr>
          <w:rFonts w:ascii="Times New Roman" w:eastAsia="宋体"/>
          <w:kern w:val="2"/>
          <w:szCs w:val="24"/>
        </w:rPr>
        <w:instrText xml:space="preserve"> </w:instrText>
      </w:r>
      <w:r>
        <w:rPr>
          <w:rFonts w:hint="eastAsia" w:ascii="Times New Roman" w:eastAsia="宋体"/>
          <w:kern w:val="2"/>
          <w:szCs w:val="24"/>
        </w:rPr>
        <w:instrText xml:space="preserve">REF _Ref276825608 \r \h</w:instrText>
      </w:r>
      <w:r>
        <w:rPr>
          <w:rFonts w:ascii="Times New Roman" w:eastAsia="宋体"/>
          <w:kern w:val="2"/>
          <w:szCs w:val="24"/>
        </w:rPr>
        <w:instrText xml:space="preserve">  \* MERGEFORMAT </w:instrText>
      </w:r>
      <w:r>
        <w:rPr>
          <w:rFonts w:ascii="Times New Roman" w:eastAsia="宋体"/>
          <w:kern w:val="2"/>
          <w:szCs w:val="24"/>
        </w:rPr>
        <w:fldChar w:fldCharType="separate"/>
      </w:r>
      <w:r>
        <w:rPr>
          <w:rFonts w:hint="eastAsia" w:ascii="Times New Roman" w:eastAsia="宋体"/>
          <w:kern w:val="2"/>
          <w:szCs w:val="24"/>
        </w:rPr>
        <w:t>E.2.1　</w:t>
      </w:r>
      <w:r>
        <w:rPr>
          <w:rFonts w:ascii="Times New Roman" w:eastAsia="宋体"/>
          <w:kern w:val="2"/>
          <w:szCs w:val="24"/>
        </w:rPr>
        <w:fldChar w:fldCharType="end"/>
      </w:r>
      <w:r>
        <w:rPr>
          <w:rFonts w:hint="eastAsia" w:ascii="Times New Roman" w:eastAsia="宋体"/>
          <w:kern w:val="2"/>
          <w:szCs w:val="24"/>
        </w:rPr>
        <w:t>规定的范围。</w:t>
      </w:r>
    </w:p>
    <w:p>
      <w:pPr>
        <w:widowControl/>
        <w:adjustRightInd/>
        <w:spacing w:line="240" w:lineRule="auto"/>
        <w:jc w:val="left"/>
        <w:rPr>
          <w:rFonts w:ascii="宋体" w:hAnsi="Times New Roman"/>
          <w:kern w:val="0"/>
          <w:szCs w:val="20"/>
        </w:rPr>
      </w:pPr>
      <w:r>
        <w:br w:type="page"/>
      </w:r>
    </w:p>
    <w:p>
      <w:pPr>
        <w:pStyle w:val="201"/>
        <w:rPr>
          <w:vanish w:val="0"/>
        </w:rPr>
      </w:pPr>
    </w:p>
    <w:p>
      <w:pPr>
        <w:pStyle w:val="202"/>
        <w:rPr>
          <w:vanish w:val="0"/>
        </w:rPr>
      </w:pPr>
    </w:p>
    <w:p>
      <w:pPr>
        <w:pStyle w:val="79"/>
        <w:spacing w:before="78" w:after="156"/>
      </w:pPr>
      <w:r>
        <w:br w:type="textWrapping"/>
      </w:r>
      <w:bookmarkStart w:id="558" w:name="_Toc96705344"/>
      <w:r>
        <w:rPr>
          <w:rFonts w:hint="eastAsia"/>
        </w:rPr>
        <w:t>（规范性）</w:t>
      </w:r>
      <w:r>
        <w:br w:type="textWrapping"/>
      </w:r>
      <w:r>
        <w:rPr>
          <w:rFonts w:hint="eastAsia"/>
        </w:rPr>
        <w:t>假人规格</w:t>
      </w:r>
      <w:bookmarkEnd w:id="558"/>
    </w:p>
    <w:p>
      <w:pPr>
        <w:pStyle w:val="59"/>
        <w:ind w:firstLine="420"/>
      </w:pPr>
      <w:r>
        <w:rPr>
          <w:rFonts w:hint="eastAsia"/>
        </w:rPr>
        <w:t>假人规格见</w:t>
      </w:r>
      <w:r>
        <w:t>图</w:t>
      </w:r>
      <w:r>
        <w:rPr>
          <w:rFonts w:hint="eastAsia"/>
        </w:rPr>
        <w:t>F</w:t>
      </w:r>
      <w:r>
        <w:t>.1</w:t>
      </w:r>
      <w:r>
        <w:rPr>
          <w:rFonts w:hint="eastAsia"/>
        </w:rPr>
        <w:t>。</w:t>
      </w:r>
    </w:p>
    <w:p>
      <w:pPr>
        <w:pStyle w:val="59"/>
        <w:ind w:firstLine="420"/>
        <w:jc w:val="center"/>
      </w:pPr>
      <w:r>
        <w:drawing>
          <wp:inline distT="0" distB="0" distL="0" distR="0">
            <wp:extent cx="3552825" cy="2905125"/>
            <wp:effectExtent l="0" t="0" r="9525" b="9525"/>
            <wp:docPr id="29" name="图片 29" descr="图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552825" cy="2905125"/>
                    </a:xfrm>
                    <a:prstGeom prst="rect">
                      <a:avLst/>
                    </a:prstGeom>
                    <a:noFill/>
                    <a:ln>
                      <a:noFill/>
                    </a:ln>
                  </pic:spPr>
                </pic:pic>
              </a:graphicData>
            </a:graphic>
          </wp:inline>
        </w:drawing>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质量</w:t>
            </w:r>
          </w:p>
        </w:tc>
        <w:tc>
          <w:tcPr>
            <w:tcW w:w="2304" w:type="dxa"/>
            <w:shd w:val="clear" w:color="auto" w:fill="auto"/>
            <w:vAlign w:val="center"/>
          </w:tcPr>
          <w:p>
            <w:pPr>
              <w:jc w:val="center"/>
              <w:rPr>
                <w:rFonts w:ascii="宋体"/>
                <w:sz w:val="18"/>
              </w:rPr>
            </w:pPr>
            <w:r>
              <w:rPr>
                <w:rFonts w:hint="eastAsia" w:ascii="宋体"/>
                <w:sz w:val="18"/>
              </w:rPr>
              <w:t>97.5 kg±5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坐高</w:t>
            </w:r>
          </w:p>
        </w:tc>
        <w:tc>
          <w:tcPr>
            <w:tcW w:w="2304" w:type="dxa"/>
            <w:shd w:val="clear" w:color="auto" w:fill="auto"/>
            <w:vAlign w:val="center"/>
          </w:tcPr>
          <w:p>
            <w:pPr>
              <w:jc w:val="center"/>
              <w:rPr>
                <w:rFonts w:ascii="宋体"/>
                <w:sz w:val="18"/>
              </w:rPr>
            </w:pPr>
            <w:r>
              <w:rPr>
                <w:rFonts w:hint="eastAsia" w:ascii="宋体"/>
                <w:sz w:val="18"/>
              </w:rPr>
              <w:t>965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pStyle w:val="17"/>
              <w:jc w:val="center"/>
              <w:rPr>
                <w:rFonts w:ascii="宋体"/>
              </w:rPr>
            </w:pPr>
            <w:r>
              <w:rPr>
                <w:rFonts w:hint="eastAsia" w:ascii="宋体"/>
              </w:rPr>
              <w:t>臀宽</w:t>
            </w:r>
          </w:p>
        </w:tc>
        <w:tc>
          <w:tcPr>
            <w:tcW w:w="2304" w:type="dxa"/>
            <w:shd w:val="clear" w:color="auto" w:fill="auto"/>
            <w:vAlign w:val="center"/>
          </w:tcPr>
          <w:p>
            <w:pPr>
              <w:jc w:val="center"/>
              <w:rPr>
                <w:rFonts w:ascii="宋体"/>
                <w:sz w:val="18"/>
              </w:rPr>
            </w:pPr>
            <w:r>
              <w:rPr>
                <w:rFonts w:hint="eastAsia" w:ascii="宋体"/>
                <w:sz w:val="18"/>
              </w:rPr>
              <w:t>415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臀围</w:t>
            </w:r>
          </w:p>
        </w:tc>
        <w:tc>
          <w:tcPr>
            <w:tcW w:w="2304" w:type="dxa"/>
            <w:shd w:val="clear" w:color="auto" w:fill="auto"/>
            <w:vAlign w:val="center"/>
          </w:tcPr>
          <w:p>
            <w:pPr>
              <w:jc w:val="center"/>
              <w:rPr>
                <w:rFonts w:ascii="宋体"/>
                <w:sz w:val="18"/>
              </w:rPr>
            </w:pPr>
            <w:r>
              <w:rPr>
                <w:rFonts w:hint="eastAsia" w:ascii="宋体"/>
                <w:sz w:val="18"/>
              </w:rPr>
              <w:t>1 200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腰围</w:t>
            </w:r>
          </w:p>
        </w:tc>
        <w:tc>
          <w:tcPr>
            <w:tcW w:w="2304" w:type="dxa"/>
            <w:shd w:val="clear" w:color="auto" w:fill="auto"/>
            <w:vAlign w:val="center"/>
          </w:tcPr>
          <w:p>
            <w:pPr>
              <w:jc w:val="center"/>
              <w:rPr>
                <w:rFonts w:ascii="宋体"/>
                <w:sz w:val="18"/>
              </w:rPr>
            </w:pPr>
            <w:r>
              <w:rPr>
                <w:rFonts w:hint="eastAsia" w:ascii="宋体"/>
                <w:sz w:val="18"/>
              </w:rPr>
              <w:t>1 080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胸厚</w:t>
            </w:r>
          </w:p>
        </w:tc>
        <w:tc>
          <w:tcPr>
            <w:tcW w:w="2304" w:type="dxa"/>
            <w:shd w:val="clear" w:color="auto" w:fill="auto"/>
            <w:vAlign w:val="center"/>
          </w:tcPr>
          <w:p>
            <w:pPr>
              <w:jc w:val="center"/>
              <w:rPr>
                <w:rFonts w:ascii="宋体"/>
                <w:sz w:val="18"/>
              </w:rPr>
            </w:pPr>
            <w:r>
              <w:rPr>
                <w:rFonts w:hint="eastAsia" w:ascii="宋体"/>
                <w:sz w:val="18"/>
              </w:rPr>
              <w:t>265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胸围</w:t>
            </w:r>
          </w:p>
        </w:tc>
        <w:tc>
          <w:tcPr>
            <w:tcW w:w="2304" w:type="dxa"/>
            <w:shd w:val="clear" w:color="auto" w:fill="auto"/>
            <w:vAlign w:val="center"/>
          </w:tcPr>
          <w:p>
            <w:pPr>
              <w:jc w:val="center"/>
              <w:rPr>
                <w:rFonts w:ascii="宋体"/>
                <w:sz w:val="18"/>
              </w:rPr>
            </w:pPr>
            <w:r>
              <w:rPr>
                <w:rFonts w:hint="eastAsia" w:ascii="宋体"/>
                <w:sz w:val="18"/>
              </w:rPr>
              <w:t>1 130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肩高</w:t>
            </w:r>
          </w:p>
        </w:tc>
        <w:tc>
          <w:tcPr>
            <w:tcW w:w="2304" w:type="dxa"/>
            <w:shd w:val="clear" w:color="auto" w:fill="auto"/>
            <w:vAlign w:val="center"/>
          </w:tcPr>
          <w:p>
            <w:pPr>
              <w:jc w:val="center"/>
              <w:rPr>
                <w:rFonts w:ascii="宋体"/>
                <w:sz w:val="18"/>
              </w:rPr>
            </w:pPr>
            <w:r>
              <w:rPr>
                <w:rFonts w:hint="eastAsia" w:ascii="宋体"/>
                <w:sz w:val="18"/>
              </w:rPr>
              <w:t>680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shd w:val="clear" w:color="auto" w:fill="auto"/>
            <w:vAlign w:val="center"/>
          </w:tcPr>
          <w:p>
            <w:pPr>
              <w:jc w:val="center"/>
              <w:rPr>
                <w:rFonts w:ascii="宋体"/>
                <w:sz w:val="18"/>
              </w:rPr>
            </w:pPr>
            <w:r>
              <w:rPr>
                <w:rFonts w:hint="eastAsia" w:ascii="宋体"/>
                <w:sz w:val="18"/>
              </w:rPr>
              <w:t>尺寸公差</w:t>
            </w:r>
          </w:p>
        </w:tc>
        <w:tc>
          <w:tcPr>
            <w:tcW w:w="2304" w:type="dxa"/>
            <w:shd w:val="clear" w:color="auto" w:fill="auto"/>
            <w:vAlign w:val="center"/>
          </w:tcPr>
          <w:p>
            <w:pPr>
              <w:jc w:val="center"/>
              <w:rPr>
                <w:rFonts w:ascii="宋体"/>
                <w:sz w:val="18"/>
              </w:rPr>
            </w:pPr>
            <w:r>
              <w:rPr>
                <w:rFonts w:hint="eastAsia" w:ascii="宋体"/>
                <w:sz w:val="18"/>
              </w:rPr>
              <w:t>±5%</w:t>
            </w:r>
          </w:p>
        </w:tc>
      </w:tr>
    </w:tbl>
    <w:p>
      <w:pPr>
        <w:pStyle w:val="182"/>
      </w:pPr>
      <w:r>
        <w:rPr>
          <w:rFonts w:hint="eastAsia"/>
        </w:rPr>
        <w:t>等同于95百分位的混合Ⅲ型假人。</w:t>
      </w:r>
    </w:p>
    <w:p>
      <w:pPr>
        <w:pStyle w:val="86"/>
        <w:numPr>
          <w:ilvl w:val="0"/>
          <w:numId w:val="0"/>
        </w:numPr>
        <w:spacing w:before="156" w:after="156"/>
      </w:pPr>
      <w:bookmarkStart w:id="559" w:name="_Ref276825621"/>
      <w:r>
        <w:rPr>
          <w:rFonts w:hint="eastAsia"/>
        </w:rPr>
        <w:t>图F</w:t>
      </w:r>
      <w:r>
        <w:t xml:space="preserve">.1 </w:t>
      </w:r>
      <w:r>
        <w:rPr>
          <w:rFonts w:hint="eastAsia"/>
        </w:rPr>
        <w:t>假人规格尺寸</w:t>
      </w:r>
      <w:bookmarkEnd w:id="559"/>
    </w:p>
    <w:p>
      <w:pPr>
        <w:pStyle w:val="202"/>
        <w:rPr>
          <w:vanish w:val="0"/>
        </w:rPr>
      </w:pPr>
    </w:p>
    <w:p>
      <w:pPr>
        <w:widowControl/>
        <w:adjustRightInd/>
        <w:spacing w:line="240" w:lineRule="auto"/>
        <w:jc w:val="left"/>
        <w:rPr>
          <w:rFonts w:ascii="黑体" w:hAnsi="Times New Roman" w:eastAsia="黑体"/>
          <w:kern w:val="0"/>
          <w:szCs w:val="20"/>
        </w:rPr>
      </w:pPr>
      <w:r>
        <w:br w:type="page"/>
      </w:r>
    </w:p>
    <w:p>
      <w:pPr>
        <w:pStyle w:val="79"/>
        <w:spacing w:before="78" w:after="156"/>
      </w:pPr>
      <w:r>
        <w:br w:type="textWrapping"/>
      </w:r>
      <w:bookmarkStart w:id="560" w:name="_Toc96705345"/>
      <w:r>
        <w:rPr>
          <w:rFonts w:hint="eastAsia"/>
        </w:rPr>
        <w:t>（规范性）</w:t>
      </w:r>
      <w:r>
        <w:br w:type="textWrapping"/>
      </w:r>
      <w:r>
        <w:rPr>
          <w:rFonts w:hint="eastAsia"/>
        </w:rPr>
        <w:t>i-Size乘坐位置</w:t>
      </w:r>
      <w:bookmarkEnd w:id="560"/>
    </w:p>
    <w:p>
      <w:pPr>
        <w:pStyle w:val="59"/>
        <w:ind w:firstLine="420"/>
        <w:jc w:val="right"/>
      </w:pPr>
      <w:r>
        <w:t>单位为</w:t>
      </w:r>
      <w:r>
        <w:rPr>
          <w:rFonts w:hint="eastAsia"/>
        </w:rPr>
        <w:t>mm</w:t>
      </w:r>
    </w:p>
    <w:p>
      <w:pPr>
        <w:pStyle w:val="59"/>
        <w:ind w:firstLine="420"/>
        <w:jc w:val="center"/>
      </w:pPr>
      <w:r>
        <w:drawing>
          <wp:inline distT="0" distB="0" distL="0" distR="0">
            <wp:extent cx="3498215" cy="3126105"/>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9">
                      <a:extLst>
                        <a:ext uri="{28A0092B-C50C-407E-A947-70E740481C1C}">
                          <a14:useLocalDpi xmlns:a14="http://schemas.microsoft.com/office/drawing/2010/main" val="0"/>
                        </a:ext>
                      </a:extLst>
                    </a:blip>
                    <a:srcRect l="29909" t="34341" r="20393" b="8470"/>
                    <a:stretch>
                      <a:fillRect/>
                    </a:stretch>
                  </pic:blipFill>
                  <pic:spPr>
                    <a:xfrm>
                      <a:off x="0" y="0"/>
                      <a:ext cx="3498215" cy="3126105"/>
                    </a:xfrm>
                    <a:prstGeom prst="rect">
                      <a:avLst/>
                    </a:prstGeom>
                    <a:noFill/>
                    <a:ln>
                      <a:noFill/>
                    </a:ln>
                  </pic:spPr>
                </pic:pic>
              </a:graphicData>
            </a:graphic>
          </wp:inline>
        </w:drawing>
      </w:r>
    </w:p>
    <w:p>
      <w:pPr>
        <w:pStyle w:val="112"/>
        <w:numPr>
          <w:ilvl w:val="3"/>
          <w:numId w:val="6"/>
        </w:numPr>
        <w:ind w:left="420"/>
        <w:jc w:val="left"/>
        <w:rPr>
          <w:rFonts w:hAnsi="宋体"/>
          <w:sz w:val="18"/>
          <w:szCs w:val="18"/>
        </w:rPr>
      </w:pPr>
      <w:r>
        <mc:AlternateContent>
          <mc:Choice Requires="wps">
            <w:drawing>
              <wp:anchor distT="0" distB="0" distL="114300" distR="114300" simplePos="0" relativeHeight="251664384" behindDoc="0" locked="0" layoutInCell="1" allowOverlap="1">
                <wp:simplePos x="0" y="0"/>
                <wp:positionH relativeFrom="column">
                  <wp:posOffset>734695</wp:posOffset>
                </wp:positionH>
                <wp:positionV relativeFrom="paragraph">
                  <wp:posOffset>6264275</wp:posOffset>
                </wp:positionV>
                <wp:extent cx="5059045" cy="1096645"/>
                <wp:effectExtent l="0" t="0" r="3175" b="3175"/>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5059045" cy="1096645"/>
                        </a:xfrm>
                        <a:prstGeom prst="rect">
                          <a:avLst/>
                        </a:prstGeom>
                        <a:solidFill>
                          <a:srgbClr val="FFFFFF"/>
                        </a:solidFill>
                        <a:ln>
                          <a:noFill/>
                        </a:ln>
                      </wps:spPr>
                      <wps:txbx>
                        <w:txbxContent>
                          <w:p>
                            <w:pPr>
                              <w:rPr>
                                <w:rFonts w:ascii="宋体" w:hAnsi="宋体"/>
                                <w:sz w:val="18"/>
                                <w:szCs w:val="18"/>
                              </w:rPr>
                            </w:pPr>
                            <w:r>
                              <w:rPr>
                                <w:rFonts w:hint="eastAsia" w:ascii="宋体" w:hAnsi="宋体"/>
                                <w:sz w:val="18"/>
                                <w:szCs w:val="18"/>
                              </w:rPr>
                              <w:t>1.</w:t>
                            </w:r>
                            <w:r>
                              <w:rPr>
                                <w:rFonts w:hint="eastAsia" w:ascii="宋体" w:hAnsi="宋体"/>
                                <w:sz w:val="18"/>
                                <w:szCs w:val="18"/>
                              </w:rPr>
                              <w:tab/>
                            </w:r>
                            <w:r>
                              <w:rPr>
                                <w:rFonts w:hint="eastAsia" w:ascii="宋体" w:hAnsi="宋体"/>
                                <w:sz w:val="18"/>
                                <w:szCs w:val="18"/>
                              </w:rPr>
                              <w:t>儿童约束固定模块</w:t>
                            </w:r>
                          </w:p>
                          <w:p>
                            <w:pPr>
                              <w:rPr>
                                <w:rFonts w:ascii="宋体" w:hAnsi="宋体"/>
                                <w:sz w:val="18"/>
                                <w:szCs w:val="18"/>
                              </w:rPr>
                            </w:pPr>
                            <w:r>
                              <w:rPr>
                                <w:rFonts w:hint="eastAsia" w:ascii="宋体" w:hAnsi="宋体"/>
                                <w:sz w:val="18"/>
                                <w:szCs w:val="18"/>
                              </w:rPr>
                              <w:t>2.</w:t>
                            </w:r>
                            <w:r>
                              <w:rPr>
                                <w:rFonts w:hint="eastAsia" w:ascii="宋体" w:hAnsi="宋体"/>
                                <w:sz w:val="18"/>
                                <w:szCs w:val="18"/>
                              </w:rPr>
                              <w:tab/>
                            </w:r>
                            <w:r>
                              <w:rPr>
                                <w:rFonts w:hint="eastAsia" w:ascii="宋体" w:hAnsi="宋体"/>
                                <w:sz w:val="18"/>
                                <w:szCs w:val="18"/>
                              </w:rPr>
                              <w:t>ISOFIX下固定杆件</w:t>
                            </w:r>
                          </w:p>
                          <w:p>
                            <w:pPr>
                              <w:rPr>
                                <w:rFonts w:ascii="宋体" w:hAnsi="宋体"/>
                                <w:sz w:val="18"/>
                                <w:szCs w:val="18"/>
                              </w:rPr>
                            </w:pPr>
                            <w:r>
                              <w:rPr>
                                <w:rFonts w:hint="eastAsia" w:ascii="宋体" w:hAnsi="宋体"/>
                                <w:sz w:val="18"/>
                                <w:szCs w:val="18"/>
                              </w:rPr>
                              <w:t>3.</w:t>
                            </w:r>
                            <w:r>
                              <w:rPr>
                                <w:rFonts w:hint="eastAsia" w:ascii="宋体" w:hAnsi="宋体"/>
                                <w:sz w:val="18"/>
                                <w:szCs w:val="18"/>
                              </w:rPr>
                              <w:tab/>
                            </w:r>
                            <w:r>
                              <w:rPr>
                                <w:rFonts w:hint="eastAsia" w:ascii="宋体" w:hAnsi="宋体"/>
                                <w:sz w:val="18"/>
                                <w:szCs w:val="18"/>
                              </w:rPr>
                              <w:t>纵向中分面</w:t>
                            </w:r>
                          </w:p>
                          <w:p>
                            <w:pPr>
                              <w:rPr>
                                <w:rFonts w:ascii="宋体" w:hAnsi="宋体"/>
                                <w:sz w:val="18"/>
                                <w:szCs w:val="18"/>
                              </w:rPr>
                            </w:pPr>
                            <w:r>
                              <w:rPr>
                                <w:rFonts w:hint="eastAsia" w:ascii="宋体" w:hAnsi="宋体"/>
                                <w:sz w:val="18"/>
                                <w:szCs w:val="18"/>
                              </w:rPr>
                              <w:t>4.</w:t>
                            </w:r>
                            <w:r>
                              <w:rPr>
                                <w:rFonts w:hint="eastAsia" w:ascii="宋体" w:hAnsi="宋体"/>
                                <w:sz w:val="18"/>
                                <w:szCs w:val="18"/>
                              </w:rPr>
                              <w:tab/>
                            </w:r>
                            <w:r>
                              <w:rPr>
                                <w:rFonts w:hint="eastAsia" w:ascii="宋体" w:hAnsi="宋体"/>
                                <w:sz w:val="18"/>
                                <w:szCs w:val="18"/>
                              </w:rPr>
                              <w:t>支撑腿足部空间评价体</w:t>
                            </w:r>
                          </w:p>
                          <w:p>
                            <w:pPr>
                              <w:rPr>
                                <w:rFonts w:ascii="宋体" w:hAnsi="宋体"/>
                                <w:sz w:val="18"/>
                                <w:szCs w:val="18"/>
                              </w:rPr>
                            </w:pPr>
                            <w:r>
                              <w:rPr>
                                <w:rFonts w:hint="eastAsia" w:ascii="宋体" w:hAnsi="宋体"/>
                                <w:sz w:val="18"/>
                                <w:szCs w:val="18"/>
                              </w:rPr>
                              <w:t>5.</w:t>
                            </w:r>
                            <w:r>
                              <w:rPr>
                                <w:rFonts w:hint="eastAsia" w:ascii="宋体" w:hAnsi="宋体"/>
                                <w:sz w:val="18"/>
                                <w:szCs w:val="18"/>
                              </w:rPr>
                              <w:tab/>
                            </w:r>
                            <w:r>
                              <w:rPr>
                                <w:rFonts w:hint="eastAsia" w:ascii="宋体" w:hAnsi="宋体"/>
                                <w:sz w:val="18"/>
                                <w:szCs w:val="18"/>
                              </w:rPr>
                              <w:t>车辆地板接触表面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85pt;margin-top:493.25pt;height:86.35pt;width:398.35pt;z-index:251664384;mso-width-relative:page;mso-height-relative:page;" fillcolor="#FFFFFF" filled="t" stroked="f" coordsize="21600,21600" o:gfxdata="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WinTzYAAAADAEAAA8AAAAAAAAAAQAgAAAAIgAAAGRycy9kb3ducmV2LnhtbFBLAQIU&#10;ABQAAAAIAIdO4kD7Ff7sLAIAAEEEAAAOAAAAAAAAAAEAIAAAACcBAABkcnMvZTJvRG9jLnhtbFBL&#10;BQYAAAAABgAGAFkBAADFBQAAAAA=&#10;">
                <v:fill on="t" focussize="0,0"/>
                <v:stroke on="f"/>
                <v:imagedata o:title=""/>
                <o:lock v:ext="edit" aspectratio="f"/>
                <v:textbox>
                  <w:txbxContent>
                    <w:p>
                      <w:pPr>
                        <w:rPr>
                          <w:rFonts w:ascii="宋体" w:hAnsi="宋体"/>
                          <w:sz w:val="18"/>
                          <w:szCs w:val="18"/>
                        </w:rPr>
                      </w:pPr>
                      <w:r>
                        <w:rPr>
                          <w:rFonts w:hint="eastAsia" w:ascii="宋体" w:hAnsi="宋体"/>
                          <w:sz w:val="18"/>
                          <w:szCs w:val="18"/>
                        </w:rPr>
                        <w:t>1.</w:t>
                      </w:r>
                      <w:r>
                        <w:rPr>
                          <w:rFonts w:hint="eastAsia" w:ascii="宋体" w:hAnsi="宋体"/>
                          <w:sz w:val="18"/>
                          <w:szCs w:val="18"/>
                        </w:rPr>
                        <w:tab/>
                      </w:r>
                      <w:r>
                        <w:rPr>
                          <w:rFonts w:hint="eastAsia" w:ascii="宋体" w:hAnsi="宋体"/>
                          <w:sz w:val="18"/>
                          <w:szCs w:val="18"/>
                        </w:rPr>
                        <w:t>儿童约束固定模块</w:t>
                      </w:r>
                    </w:p>
                    <w:p>
                      <w:pPr>
                        <w:rPr>
                          <w:rFonts w:ascii="宋体" w:hAnsi="宋体"/>
                          <w:sz w:val="18"/>
                          <w:szCs w:val="18"/>
                        </w:rPr>
                      </w:pPr>
                      <w:r>
                        <w:rPr>
                          <w:rFonts w:hint="eastAsia" w:ascii="宋体" w:hAnsi="宋体"/>
                          <w:sz w:val="18"/>
                          <w:szCs w:val="18"/>
                        </w:rPr>
                        <w:t>2.</w:t>
                      </w:r>
                      <w:r>
                        <w:rPr>
                          <w:rFonts w:hint="eastAsia" w:ascii="宋体" w:hAnsi="宋体"/>
                          <w:sz w:val="18"/>
                          <w:szCs w:val="18"/>
                        </w:rPr>
                        <w:tab/>
                      </w:r>
                      <w:r>
                        <w:rPr>
                          <w:rFonts w:hint="eastAsia" w:ascii="宋体" w:hAnsi="宋体"/>
                          <w:sz w:val="18"/>
                          <w:szCs w:val="18"/>
                        </w:rPr>
                        <w:t>ISOFIX下固定杆件</w:t>
                      </w:r>
                    </w:p>
                    <w:p>
                      <w:pPr>
                        <w:rPr>
                          <w:rFonts w:ascii="宋体" w:hAnsi="宋体"/>
                          <w:sz w:val="18"/>
                          <w:szCs w:val="18"/>
                        </w:rPr>
                      </w:pPr>
                      <w:r>
                        <w:rPr>
                          <w:rFonts w:hint="eastAsia" w:ascii="宋体" w:hAnsi="宋体"/>
                          <w:sz w:val="18"/>
                          <w:szCs w:val="18"/>
                        </w:rPr>
                        <w:t>3.</w:t>
                      </w:r>
                      <w:r>
                        <w:rPr>
                          <w:rFonts w:hint="eastAsia" w:ascii="宋体" w:hAnsi="宋体"/>
                          <w:sz w:val="18"/>
                          <w:szCs w:val="18"/>
                        </w:rPr>
                        <w:tab/>
                      </w:r>
                      <w:r>
                        <w:rPr>
                          <w:rFonts w:hint="eastAsia" w:ascii="宋体" w:hAnsi="宋体"/>
                          <w:sz w:val="18"/>
                          <w:szCs w:val="18"/>
                        </w:rPr>
                        <w:t>纵向中分面</w:t>
                      </w:r>
                    </w:p>
                    <w:p>
                      <w:pPr>
                        <w:rPr>
                          <w:rFonts w:ascii="宋体" w:hAnsi="宋体"/>
                          <w:sz w:val="18"/>
                          <w:szCs w:val="18"/>
                        </w:rPr>
                      </w:pPr>
                      <w:r>
                        <w:rPr>
                          <w:rFonts w:hint="eastAsia" w:ascii="宋体" w:hAnsi="宋体"/>
                          <w:sz w:val="18"/>
                          <w:szCs w:val="18"/>
                        </w:rPr>
                        <w:t>4.</w:t>
                      </w:r>
                      <w:r>
                        <w:rPr>
                          <w:rFonts w:hint="eastAsia" w:ascii="宋体" w:hAnsi="宋体"/>
                          <w:sz w:val="18"/>
                          <w:szCs w:val="18"/>
                        </w:rPr>
                        <w:tab/>
                      </w:r>
                      <w:r>
                        <w:rPr>
                          <w:rFonts w:hint="eastAsia" w:ascii="宋体" w:hAnsi="宋体"/>
                          <w:sz w:val="18"/>
                          <w:szCs w:val="18"/>
                        </w:rPr>
                        <w:t>支撑腿足部空间评价体</w:t>
                      </w:r>
                    </w:p>
                    <w:p>
                      <w:pPr>
                        <w:rPr>
                          <w:rFonts w:ascii="宋体" w:hAnsi="宋体"/>
                          <w:sz w:val="18"/>
                          <w:szCs w:val="18"/>
                        </w:rPr>
                      </w:pPr>
                      <w:r>
                        <w:rPr>
                          <w:rFonts w:hint="eastAsia" w:ascii="宋体" w:hAnsi="宋体"/>
                          <w:sz w:val="18"/>
                          <w:szCs w:val="18"/>
                        </w:rPr>
                        <w:t>5.</w:t>
                      </w:r>
                      <w:r>
                        <w:rPr>
                          <w:rFonts w:hint="eastAsia" w:ascii="宋体" w:hAnsi="宋体"/>
                          <w:sz w:val="18"/>
                          <w:szCs w:val="18"/>
                        </w:rPr>
                        <w:tab/>
                      </w:r>
                      <w:r>
                        <w:rPr>
                          <w:rFonts w:hint="eastAsia" w:ascii="宋体" w:hAnsi="宋体"/>
                          <w:sz w:val="18"/>
                          <w:szCs w:val="18"/>
                        </w:rPr>
                        <w:t>车辆地板接触表面</w:t>
                      </w:r>
                    </w:p>
                  </w:txbxContent>
                </v:textbox>
              </v:shape>
            </w:pict>
          </mc:Fallback>
        </mc:AlternateContent>
      </w:r>
      <w:r>
        <w:rPr>
          <w:rFonts w:hint="eastAsia" w:hAnsi="宋体"/>
          <w:sz w:val="18"/>
          <w:szCs w:val="18"/>
        </w:rPr>
        <w:t>儿童约束固定模块</w:t>
      </w:r>
    </w:p>
    <w:p>
      <w:pPr>
        <w:pStyle w:val="112"/>
        <w:numPr>
          <w:ilvl w:val="3"/>
          <w:numId w:val="6"/>
        </w:numPr>
        <w:ind w:left="420"/>
        <w:jc w:val="left"/>
      </w:pPr>
      <w:r>
        <w:rPr>
          <w:rFonts w:hint="eastAsia" w:hAnsi="宋体"/>
          <w:sz w:val="18"/>
          <w:szCs w:val="18"/>
        </w:rPr>
        <w:t>ISOFIX下固定杆件</w:t>
      </w:r>
    </w:p>
    <w:p>
      <w:pPr>
        <w:pStyle w:val="112"/>
        <w:numPr>
          <w:ilvl w:val="3"/>
          <w:numId w:val="6"/>
        </w:numPr>
        <w:ind w:left="420"/>
        <w:jc w:val="left"/>
      </w:pPr>
      <w:r>
        <w:rPr>
          <w:rFonts w:hint="eastAsia" w:hAnsi="宋体"/>
          <w:sz w:val="18"/>
          <w:szCs w:val="18"/>
        </w:rPr>
        <w:t>纵向中分面</w:t>
      </w:r>
    </w:p>
    <w:p>
      <w:pPr>
        <w:pStyle w:val="112"/>
        <w:numPr>
          <w:ilvl w:val="3"/>
          <w:numId w:val="6"/>
        </w:numPr>
        <w:ind w:left="420"/>
        <w:jc w:val="left"/>
      </w:pPr>
      <w:r>
        <w:rPr>
          <w:rFonts w:hint="eastAsia" w:hAnsi="宋体"/>
          <w:sz w:val="18"/>
          <w:szCs w:val="18"/>
        </w:rPr>
        <w:t>支撑腿足部空间评价体</w:t>
      </w:r>
    </w:p>
    <w:p>
      <w:pPr>
        <w:pStyle w:val="112"/>
        <w:numPr>
          <w:ilvl w:val="3"/>
          <w:numId w:val="6"/>
        </w:numPr>
        <w:ind w:left="420"/>
        <w:jc w:val="left"/>
      </w:pPr>
      <w:r>
        <w:rPr>
          <w:rFonts w:hint="eastAsia" w:hAnsi="宋体"/>
          <w:sz w:val="18"/>
          <w:szCs w:val="18"/>
        </w:rPr>
        <w:t>车辆地板接触表面</w:t>
      </w:r>
    </w:p>
    <w:p>
      <w:pPr>
        <w:pStyle w:val="86"/>
        <w:numPr>
          <w:ilvl w:val="0"/>
          <w:numId w:val="0"/>
        </w:numPr>
        <w:spacing w:before="156" w:after="156"/>
      </w:pPr>
      <w:bookmarkStart w:id="561" w:name="_Ref505690634"/>
      <w:r>
        <w:t>图G.1</w:t>
      </w:r>
      <w:r>
        <w:rPr>
          <w:rFonts w:hint="eastAsia"/>
        </w:rPr>
        <w:t>支撑腿足部空间评价体的三维视图</w:t>
      </w:r>
      <w:bookmarkEnd w:id="561"/>
      <w:r>
        <mc:AlternateContent>
          <mc:Choice Requires="wps">
            <w:drawing>
              <wp:anchor distT="0" distB="0" distL="114300" distR="114300" simplePos="0" relativeHeight="251665408" behindDoc="0" locked="0" layoutInCell="1" allowOverlap="1">
                <wp:simplePos x="0" y="0"/>
                <wp:positionH relativeFrom="column">
                  <wp:posOffset>734695</wp:posOffset>
                </wp:positionH>
                <wp:positionV relativeFrom="paragraph">
                  <wp:posOffset>6264275</wp:posOffset>
                </wp:positionV>
                <wp:extent cx="5059045" cy="1096645"/>
                <wp:effectExtent l="0" t="0" r="3175" b="3175"/>
                <wp:wrapNone/>
                <wp:docPr id="448" name="文本框 448"/>
                <wp:cNvGraphicFramePr/>
                <a:graphic xmlns:a="http://schemas.openxmlformats.org/drawingml/2006/main">
                  <a:graphicData uri="http://schemas.microsoft.com/office/word/2010/wordprocessingShape">
                    <wps:wsp>
                      <wps:cNvSpPr txBox="1">
                        <a:spLocks noChangeArrowheads="1"/>
                      </wps:cNvSpPr>
                      <wps:spPr bwMode="auto">
                        <a:xfrm>
                          <a:off x="0" y="0"/>
                          <a:ext cx="5059045" cy="1096645"/>
                        </a:xfrm>
                        <a:prstGeom prst="rect">
                          <a:avLst/>
                        </a:prstGeom>
                        <a:solidFill>
                          <a:srgbClr val="FFFFFF"/>
                        </a:solidFill>
                        <a:ln>
                          <a:noFill/>
                        </a:ln>
                      </wps:spPr>
                      <wps:txbx>
                        <w:txbxContent>
                          <w:p>
                            <w:pPr>
                              <w:rPr>
                                <w:rFonts w:ascii="宋体" w:hAnsi="宋体"/>
                                <w:sz w:val="18"/>
                                <w:szCs w:val="18"/>
                              </w:rPr>
                            </w:pPr>
                            <w:r>
                              <w:rPr>
                                <w:rFonts w:hint="eastAsia" w:ascii="宋体" w:hAnsi="宋体"/>
                                <w:sz w:val="18"/>
                                <w:szCs w:val="18"/>
                              </w:rPr>
                              <w:t>1.</w:t>
                            </w:r>
                            <w:r>
                              <w:rPr>
                                <w:rFonts w:hint="eastAsia" w:ascii="宋体" w:hAnsi="宋体"/>
                                <w:sz w:val="18"/>
                                <w:szCs w:val="18"/>
                              </w:rPr>
                              <w:tab/>
                            </w:r>
                            <w:r>
                              <w:rPr>
                                <w:rFonts w:hint="eastAsia" w:ascii="宋体" w:hAnsi="宋体"/>
                                <w:sz w:val="18"/>
                                <w:szCs w:val="18"/>
                              </w:rPr>
                              <w:t>儿童约束固定模块</w:t>
                            </w:r>
                          </w:p>
                          <w:p>
                            <w:pPr>
                              <w:rPr>
                                <w:rFonts w:ascii="宋体" w:hAnsi="宋体"/>
                                <w:sz w:val="18"/>
                                <w:szCs w:val="18"/>
                              </w:rPr>
                            </w:pPr>
                            <w:r>
                              <w:rPr>
                                <w:rFonts w:hint="eastAsia" w:ascii="宋体" w:hAnsi="宋体"/>
                                <w:sz w:val="18"/>
                                <w:szCs w:val="18"/>
                              </w:rPr>
                              <w:t>2.</w:t>
                            </w:r>
                            <w:r>
                              <w:rPr>
                                <w:rFonts w:hint="eastAsia" w:ascii="宋体" w:hAnsi="宋体"/>
                                <w:sz w:val="18"/>
                                <w:szCs w:val="18"/>
                              </w:rPr>
                              <w:tab/>
                            </w:r>
                            <w:r>
                              <w:rPr>
                                <w:rFonts w:hint="eastAsia" w:ascii="宋体" w:hAnsi="宋体"/>
                                <w:sz w:val="18"/>
                                <w:szCs w:val="18"/>
                              </w:rPr>
                              <w:t>ISOFIX下固定杆件</w:t>
                            </w:r>
                          </w:p>
                          <w:p>
                            <w:pPr>
                              <w:rPr>
                                <w:rFonts w:ascii="宋体" w:hAnsi="宋体"/>
                                <w:sz w:val="18"/>
                                <w:szCs w:val="18"/>
                              </w:rPr>
                            </w:pPr>
                            <w:r>
                              <w:rPr>
                                <w:rFonts w:hint="eastAsia" w:ascii="宋体" w:hAnsi="宋体"/>
                                <w:sz w:val="18"/>
                                <w:szCs w:val="18"/>
                              </w:rPr>
                              <w:t>3.</w:t>
                            </w:r>
                            <w:r>
                              <w:rPr>
                                <w:rFonts w:hint="eastAsia" w:ascii="宋体" w:hAnsi="宋体"/>
                                <w:sz w:val="18"/>
                                <w:szCs w:val="18"/>
                              </w:rPr>
                              <w:tab/>
                            </w:r>
                            <w:r>
                              <w:rPr>
                                <w:rFonts w:hint="eastAsia" w:ascii="宋体" w:hAnsi="宋体"/>
                                <w:sz w:val="18"/>
                                <w:szCs w:val="18"/>
                              </w:rPr>
                              <w:t>纵向中分面</w:t>
                            </w:r>
                          </w:p>
                          <w:p>
                            <w:pPr>
                              <w:rPr>
                                <w:rFonts w:ascii="宋体" w:hAnsi="宋体"/>
                                <w:sz w:val="18"/>
                                <w:szCs w:val="18"/>
                              </w:rPr>
                            </w:pPr>
                            <w:r>
                              <w:rPr>
                                <w:rFonts w:hint="eastAsia" w:ascii="宋体" w:hAnsi="宋体"/>
                                <w:sz w:val="18"/>
                                <w:szCs w:val="18"/>
                              </w:rPr>
                              <w:t>4.</w:t>
                            </w:r>
                            <w:r>
                              <w:rPr>
                                <w:rFonts w:hint="eastAsia" w:ascii="宋体" w:hAnsi="宋体"/>
                                <w:sz w:val="18"/>
                                <w:szCs w:val="18"/>
                              </w:rPr>
                              <w:tab/>
                            </w:r>
                            <w:r>
                              <w:rPr>
                                <w:rFonts w:hint="eastAsia" w:ascii="宋体" w:hAnsi="宋体"/>
                                <w:sz w:val="18"/>
                                <w:szCs w:val="18"/>
                              </w:rPr>
                              <w:t>支撑腿足部空间评价体</w:t>
                            </w:r>
                          </w:p>
                          <w:p>
                            <w:pPr>
                              <w:rPr>
                                <w:rFonts w:ascii="宋体" w:hAnsi="宋体"/>
                                <w:sz w:val="18"/>
                                <w:szCs w:val="18"/>
                              </w:rPr>
                            </w:pPr>
                            <w:r>
                              <w:rPr>
                                <w:rFonts w:hint="eastAsia" w:ascii="宋体" w:hAnsi="宋体"/>
                                <w:sz w:val="18"/>
                                <w:szCs w:val="18"/>
                              </w:rPr>
                              <w:t>5.</w:t>
                            </w:r>
                            <w:r>
                              <w:rPr>
                                <w:rFonts w:hint="eastAsia" w:ascii="宋体" w:hAnsi="宋体"/>
                                <w:sz w:val="18"/>
                                <w:szCs w:val="18"/>
                              </w:rPr>
                              <w:tab/>
                            </w:r>
                            <w:r>
                              <w:rPr>
                                <w:rFonts w:hint="eastAsia" w:ascii="宋体" w:hAnsi="宋体"/>
                                <w:sz w:val="18"/>
                                <w:szCs w:val="18"/>
                              </w:rPr>
                              <w:t>车辆地板接触表面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85pt;margin-top:493.25pt;height:86.35pt;width:398.35pt;z-index:251665408;mso-width-relative:page;mso-height-relative:page;" fillcolor="#FFFFFF" filled="t" stroked="f" coordsize="21600,21600" o:gfxdata="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WinTzYAAAADAEAAA8AAAAAAAAAAQAgAAAAIgAAAGRycy9kb3ducmV2LnhtbFBLAQIU&#10;ABQAAAAIAIdO4kBg3c6ZLAIAAEMEAAAOAAAAAAAAAAEAIAAAACcBAABkcnMvZTJvRG9jLnhtbFBL&#10;BQYAAAAABgAGAFkBAADFBQAAAAA=&#10;">
                <v:fill on="t" focussize="0,0"/>
                <v:stroke on="f"/>
                <v:imagedata o:title=""/>
                <o:lock v:ext="edit" aspectratio="f"/>
                <v:textbox>
                  <w:txbxContent>
                    <w:p>
                      <w:pPr>
                        <w:rPr>
                          <w:rFonts w:ascii="宋体" w:hAnsi="宋体"/>
                          <w:sz w:val="18"/>
                          <w:szCs w:val="18"/>
                        </w:rPr>
                      </w:pPr>
                      <w:r>
                        <w:rPr>
                          <w:rFonts w:hint="eastAsia" w:ascii="宋体" w:hAnsi="宋体"/>
                          <w:sz w:val="18"/>
                          <w:szCs w:val="18"/>
                        </w:rPr>
                        <w:t>1.</w:t>
                      </w:r>
                      <w:r>
                        <w:rPr>
                          <w:rFonts w:hint="eastAsia" w:ascii="宋体" w:hAnsi="宋体"/>
                          <w:sz w:val="18"/>
                          <w:szCs w:val="18"/>
                        </w:rPr>
                        <w:tab/>
                      </w:r>
                      <w:r>
                        <w:rPr>
                          <w:rFonts w:hint="eastAsia" w:ascii="宋体" w:hAnsi="宋体"/>
                          <w:sz w:val="18"/>
                          <w:szCs w:val="18"/>
                        </w:rPr>
                        <w:t>儿童约束固定模块</w:t>
                      </w:r>
                    </w:p>
                    <w:p>
                      <w:pPr>
                        <w:rPr>
                          <w:rFonts w:ascii="宋体" w:hAnsi="宋体"/>
                          <w:sz w:val="18"/>
                          <w:szCs w:val="18"/>
                        </w:rPr>
                      </w:pPr>
                      <w:r>
                        <w:rPr>
                          <w:rFonts w:hint="eastAsia" w:ascii="宋体" w:hAnsi="宋体"/>
                          <w:sz w:val="18"/>
                          <w:szCs w:val="18"/>
                        </w:rPr>
                        <w:t>2.</w:t>
                      </w:r>
                      <w:r>
                        <w:rPr>
                          <w:rFonts w:hint="eastAsia" w:ascii="宋体" w:hAnsi="宋体"/>
                          <w:sz w:val="18"/>
                          <w:szCs w:val="18"/>
                        </w:rPr>
                        <w:tab/>
                      </w:r>
                      <w:r>
                        <w:rPr>
                          <w:rFonts w:hint="eastAsia" w:ascii="宋体" w:hAnsi="宋体"/>
                          <w:sz w:val="18"/>
                          <w:szCs w:val="18"/>
                        </w:rPr>
                        <w:t>ISOFIX下固定杆件</w:t>
                      </w:r>
                    </w:p>
                    <w:p>
                      <w:pPr>
                        <w:rPr>
                          <w:rFonts w:ascii="宋体" w:hAnsi="宋体"/>
                          <w:sz w:val="18"/>
                          <w:szCs w:val="18"/>
                        </w:rPr>
                      </w:pPr>
                      <w:r>
                        <w:rPr>
                          <w:rFonts w:hint="eastAsia" w:ascii="宋体" w:hAnsi="宋体"/>
                          <w:sz w:val="18"/>
                          <w:szCs w:val="18"/>
                        </w:rPr>
                        <w:t>3.</w:t>
                      </w:r>
                      <w:r>
                        <w:rPr>
                          <w:rFonts w:hint="eastAsia" w:ascii="宋体" w:hAnsi="宋体"/>
                          <w:sz w:val="18"/>
                          <w:szCs w:val="18"/>
                        </w:rPr>
                        <w:tab/>
                      </w:r>
                      <w:r>
                        <w:rPr>
                          <w:rFonts w:hint="eastAsia" w:ascii="宋体" w:hAnsi="宋体"/>
                          <w:sz w:val="18"/>
                          <w:szCs w:val="18"/>
                        </w:rPr>
                        <w:t>纵向中分面</w:t>
                      </w:r>
                    </w:p>
                    <w:p>
                      <w:pPr>
                        <w:rPr>
                          <w:rFonts w:ascii="宋体" w:hAnsi="宋体"/>
                          <w:sz w:val="18"/>
                          <w:szCs w:val="18"/>
                        </w:rPr>
                      </w:pPr>
                      <w:r>
                        <w:rPr>
                          <w:rFonts w:hint="eastAsia" w:ascii="宋体" w:hAnsi="宋体"/>
                          <w:sz w:val="18"/>
                          <w:szCs w:val="18"/>
                        </w:rPr>
                        <w:t>4.</w:t>
                      </w:r>
                      <w:r>
                        <w:rPr>
                          <w:rFonts w:hint="eastAsia" w:ascii="宋体" w:hAnsi="宋体"/>
                          <w:sz w:val="18"/>
                          <w:szCs w:val="18"/>
                        </w:rPr>
                        <w:tab/>
                      </w:r>
                      <w:r>
                        <w:rPr>
                          <w:rFonts w:hint="eastAsia" w:ascii="宋体" w:hAnsi="宋体"/>
                          <w:sz w:val="18"/>
                          <w:szCs w:val="18"/>
                        </w:rPr>
                        <w:t>支撑腿足部空间评价体</w:t>
                      </w:r>
                    </w:p>
                    <w:p>
                      <w:pPr>
                        <w:rPr>
                          <w:rFonts w:ascii="宋体" w:hAnsi="宋体"/>
                          <w:sz w:val="18"/>
                          <w:szCs w:val="18"/>
                        </w:rPr>
                      </w:pPr>
                      <w:r>
                        <w:rPr>
                          <w:rFonts w:hint="eastAsia" w:ascii="宋体" w:hAnsi="宋体"/>
                          <w:sz w:val="18"/>
                          <w:szCs w:val="18"/>
                        </w:rPr>
                        <w:t>5.</w:t>
                      </w:r>
                      <w:r>
                        <w:rPr>
                          <w:rFonts w:hint="eastAsia" w:ascii="宋体" w:hAnsi="宋体"/>
                          <w:sz w:val="18"/>
                          <w:szCs w:val="18"/>
                        </w:rPr>
                        <w:tab/>
                      </w:r>
                      <w:r>
                        <w:rPr>
                          <w:rFonts w:hint="eastAsia" w:ascii="宋体" w:hAnsi="宋体"/>
                          <w:sz w:val="18"/>
                          <w:szCs w:val="18"/>
                        </w:rPr>
                        <w:t>车辆地板接触表面</w:t>
                      </w:r>
                    </w:p>
                  </w:txbxContent>
                </v:textbox>
              </v:shape>
            </w:pict>
          </mc:Fallback>
        </mc:AlternateContent>
      </w:r>
    </w:p>
    <w:p>
      <w:pPr>
        <w:widowControl/>
        <w:adjustRightInd/>
        <w:spacing w:line="240" w:lineRule="auto"/>
        <w:jc w:val="left"/>
        <w:rPr>
          <w:rFonts w:ascii="宋体" w:hAnsi="Times New Roman"/>
          <w:kern w:val="0"/>
          <w:szCs w:val="20"/>
        </w:rPr>
      </w:pPr>
      <w:r>
        <w:br w:type="page"/>
      </w:r>
    </w:p>
    <w:p>
      <w:pPr>
        <w:pStyle w:val="59"/>
        <w:ind w:firstLine="199" w:firstLineChars="95"/>
        <w:jc w:val="right"/>
      </w:pPr>
      <w:r>
        <w:t>单位为</w:t>
      </w:r>
      <w:r>
        <w:rPr>
          <w:rFonts w:hint="eastAsia"/>
        </w:rPr>
        <w:t>mm</w:t>
      </w:r>
    </w:p>
    <w:p>
      <w:pPr>
        <w:pStyle w:val="59"/>
        <w:ind w:firstLineChars="95"/>
        <w:jc w:val="center"/>
      </w:pPr>
      <w:r>
        <w:rPr>
          <w:b/>
        </w:rPr>
        <w:drawing>
          <wp:inline distT="0" distB="0" distL="0" distR="0">
            <wp:extent cx="4114800" cy="381000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40">
                      <a:extLst>
                        <a:ext uri="{28A0092B-C50C-407E-A947-70E740481C1C}">
                          <a14:useLocalDpi xmlns:a14="http://schemas.microsoft.com/office/drawing/2010/main" val="0"/>
                        </a:ext>
                      </a:extLst>
                    </a:blip>
                    <a:srcRect l="17958" t="40697" r="65797" b="19321"/>
                    <a:stretch>
                      <a:fillRect/>
                    </a:stretch>
                  </pic:blipFill>
                  <pic:spPr>
                    <a:xfrm>
                      <a:off x="0" y="0"/>
                      <a:ext cx="4114800" cy="3810000"/>
                    </a:xfrm>
                    <a:prstGeom prst="rect">
                      <a:avLst/>
                    </a:prstGeom>
                    <a:noFill/>
                    <a:ln>
                      <a:noFill/>
                    </a:ln>
                  </pic:spPr>
                </pic:pic>
              </a:graphicData>
            </a:graphic>
          </wp:inline>
        </w:drawing>
      </w:r>
    </w:p>
    <w:p>
      <w:pPr>
        <w:pStyle w:val="59"/>
        <w:ind w:firstLine="0" w:firstLineChars="0"/>
        <w:jc w:val="left"/>
        <w:rPr>
          <w:rFonts w:hAnsi="宋体"/>
          <w:sz w:val="18"/>
          <w:szCs w:val="18"/>
        </w:rPr>
      </w:pPr>
      <w:r>
        <w:rPr>
          <w:rFonts w:hint="eastAsia" w:hAnsi="宋体"/>
          <w:sz w:val="18"/>
          <w:szCs w:val="18"/>
        </w:rPr>
        <w:t>1</w:t>
      </w:r>
      <w:r>
        <w:rPr>
          <w:rFonts w:hAnsi="宋体"/>
          <w:sz w:val="18"/>
          <w:szCs w:val="18"/>
        </w:rPr>
        <w:t xml:space="preserve">. </w:t>
      </w:r>
      <w:r>
        <w:rPr>
          <w:rFonts w:hint="eastAsia" w:hAnsi="宋体"/>
          <w:sz w:val="18"/>
          <w:szCs w:val="18"/>
        </w:rPr>
        <w:t>儿童约束固定模块</w:t>
      </w:r>
    </w:p>
    <w:p>
      <w:pPr>
        <w:pStyle w:val="59"/>
        <w:ind w:firstLine="0" w:firstLineChars="0"/>
        <w:jc w:val="left"/>
      </w:pPr>
      <w:r>
        <w:rPr>
          <w:rFonts w:hint="eastAsia" w:hAnsi="宋体"/>
          <w:sz w:val="18"/>
          <w:szCs w:val="18"/>
        </w:rPr>
        <w:t>2</w:t>
      </w:r>
      <w:r>
        <w:rPr>
          <w:rFonts w:hAnsi="宋体"/>
          <w:sz w:val="18"/>
          <w:szCs w:val="18"/>
        </w:rPr>
        <w:t xml:space="preserve">. </w:t>
      </w:r>
      <w:r>
        <w:rPr>
          <w:rFonts w:hint="eastAsia" w:hAnsi="宋体"/>
          <w:sz w:val="18"/>
          <w:szCs w:val="18"/>
        </w:rPr>
        <w:t>下固定杆件</w:t>
      </w:r>
    </w:p>
    <w:p>
      <w:pPr>
        <w:pStyle w:val="59"/>
        <w:ind w:firstLine="0" w:firstLineChars="0"/>
        <w:jc w:val="left"/>
      </w:pPr>
      <w:r>
        <w:rPr>
          <w:rFonts w:hint="eastAsia" w:hAnsi="宋体"/>
          <w:sz w:val="18"/>
          <w:szCs w:val="18"/>
        </w:rPr>
        <w:t>3</w:t>
      </w:r>
      <w:r>
        <w:rPr>
          <w:rFonts w:hAnsi="宋体"/>
          <w:sz w:val="18"/>
          <w:szCs w:val="18"/>
        </w:rPr>
        <w:t xml:space="preserve">. </w:t>
      </w:r>
      <w:r>
        <w:rPr>
          <w:rFonts w:hint="eastAsia" w:hAnsi="宋体"/>
          <w:sz w:val="18"/>
          <w:szCs w:val="18"/>
        </w:rPr>
        <w:t>安装到指定位置后底部表面形成的平面</w:t>
      </w:r>
    </w:p>
    <w:p>
      <w:pPr>
        <w:pStyle w:val="59"/>
        <w:ind w:firstLine="0" w:firstLineChars="0"/>
        <w:jc w:val="left"/>
      </w:pPr>
      <w:r>
        <w:rPr>
          <w:rFonts w:hint="eastAsia" w:hAnsi="宋体"/>
          <w:sz w:val="18"/>
          <w:szCs w:val="18"/>
        </w:rPr>
        <w:t>4</w:t>
      </w:r>
      <w:r>
        <w:rPr>
          <w:rFonts w:hAnsi="宋体"/>
          <w:sz w:val="18"/>
          <w:szCs w:val="18"/>
        </w:rPr>
        <w:t xml:space="preserve">. </w:t>
      </w:r>
      <w:r>
        <w:rPr>
          <w:rFonts w:hint="eastAsia" w:hAnsi="宋体"/>
          <w:sz w:val="18"/>
          <w:szCs w:val="18"/>
        </w:rPr>
        <w:t>通过ISOFIX下固定点且同时垂直于指定位置上CRF底面形成的平面和CRF纵向中分面的平面</w:t>
      </w:r>
    </w:p>
    <w:p>
      <w:pPr>
        <w:pStyle w:val="59"/>
        <w:ind w:firstLine="0" w:firstLineChars="0"/>
        <w:jc w:val="left"/>
        <w:rPr>
          <w:rFonts w:hAnsi="宋体"/>
          <w:sz w:val="18"/>
          <w:szCs w:val="18"/>
        </w:rPr>
      </w:pPr>
      <w:r>
        <w:rPr>
          <w:rFonts w:hint="eastAsia" w:hAnsi="宋体"/>
          <w:sz w:val="18"/>
          <w:szCs w:val="18"/>
        </w:rPr>
        <w:t>5</w:t>
      </w:r>
      <w:r>
        <w:rPr>
          <w:rFonts w:hAnsi="宋体"/>
          <w:sz w:val="18"/>
          <w:szCs w:val="18"/>
        </w:rPr>
        <w:t xml:space="preserve">. </w:t>
      </w:r>
      <w:r>
        <w:rPr>
          <w:rFonts w:hint="eastAsia" w:hAnsi="宋体"/>
          <w:sz w:val="18"/>
          <w:szCs w:val="18"/>
        </w:rPr>
        <w:t>车辆地板应位于其中的支撑腿足部空间评价体内。该空间评价体代表了i-Size儿童约束系统的支撑腿的长度和高度调节范围。</w:t>
      </w:r>
    </w:p>
    <w:p>
      <w:pPr>
        <w:pStyle w:val="59"/>
        <w:ind w:firstLine="0" w:firstLineChars="0"/>
        <w:jc w:val="left"/>
      </w:pPr>
      <w:r>
        <w:rPr>
          <w:rFonts w:hint="eastAsia" w:hAnsi="宋体"/>
          <w:sz w:val="18"/>
          <w:szCs w:val="18"/>
        </w:rPr>
        <w:t>6</w:t>
      </w:r>
      <w:r>
        <w:rPr>
          <w:rFonts w:hAnsi="宋体"/>
          <w:sz w:val="18"/>
          <w:szCs w:val="18"/>
        </w:rPr>
        <w:t>. 车辆地板</w:t>
      </w:r>
    </w:p>
    <w:p>
      <w:pPr>
        <w:pStyle w:val="86"/>
        <w:numPr>
          <w:ilvl w:val="0"/>
          <w:numId w:val="0"/>
        </w:numPr>
        <w:spacing w:before="156" w:after="156"/>
      </w:pPr>
      <w:r>
        <w:t xml:space="preserve">图G.2 </w:t>
      </w:r>
      <w:r>
        <w:rPr>
          <w:rFonts w:hint="eastAsia"/>
        </w:rPr>
        <w:t>支撑腿足部空间评价体的侧视图</w:t>
      </w:r>
    </w:p>
    <w:p>
      <w:pPr>
        <w:widowControl/>
        <w:adjustRightInd/>
        <w:spacing w:line="240" w:lineRule="auto"/>
        <w:jc w:val="left"/>
        <w:rPr>
          <w:rFonts w:ascii="宋体" w:hAnsi="Times New Roman"/>
          <w:kern w:val="0"/>
          <w:szCs w:val="20"/>
        </w:rPr>
      </w:pPr>
      <w:r>
        <w:br w:type="page"/>
      </w:r>
    </w:p>
    <w:p>
      <w:pPr>
        <w:pStyle w:val="59"/>
        <w:ind w:firstLine="420"/>
        <w:jc w:val="right"/>
      </w:pPr>
      <w:r>
        <w:t>单位为</w:t>
      </w:r>
      <w:r>
        <w:rPr>
          <w:rFonts w:hint="eastAsia"/>
        </w:rPr>
        <w:t>mm</w:t>
      </w:r>
    </w:p>
    <w:p>
      <w:pPr>
        <w:pStyle w:val="59"/>
        <w:ind w:firstLine="422"/>
        <w:jc w:val="center"/>
      </w:pPr>
      <w:r>
        <w:rPr>
          <w:b/>
          <w:bCs/>
        </w:rPr>
        <w:drawing>
          <wp:inline distT="0" distB="0" distL="0" distR="0">
            <wp:extent cx="3352800" cy="369570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41">
                      <a:extLst>
                        <a:ext uri="{28A0092B-C50C-407E-A947-70E740481C1C}">
                          <a14:useLocalDpi xmlns:a14="http://schemas.microsoft.com/office/drawing/2010/main" val="0"/>
                        </a:ext>
                      </a:extLst>
                    </a:blip>
                    <a:srcRect l="10834" t="23035" r="73334" b="27261"/>
                    <a:stretch>
                      <a:fillRect/>
                    </a:stretch>
                  </pic:blipFill>
                  <pic:spPr>
                    <a:xfrm>
                      <a:off x="0" y="0"/>
                      <a:ext cx="3352800" cy="3695700"/>
                    </a:xfrm>
                    <a:prstGeom prst="rect">
                      <a:avLst/>
                    </a:prstGeom>
                    <a:noFill/>
                    <a:ln>
                      <a:noFill/>
                    </a:ln>
                  </pic:spPr>
                </pic:pic>
              </a:graphicData>
            </a:graphic>
          </wp:inline>
        </w:drawing>
      </w:r>
    </w:p>
    <w:p>
      <w:pPr>
        <w:pStyle w:val="59"/>
        <w:ind w:firstLine="0" w:firstLineChars="0"/>
        <w:jc w:val="left"/>
        <w:rPr>
          <w:rFonts w:hAnsi="宋体"/>
          <w:sz w:val="18"/>
          <w:szCs w:val="18"/>
        </w:rPr>
      </w:pPr>
      <w:r>
        <w:rPr>
          <w:rFonts w:hint="eastAsia" w:hAnsi="宋体"/>
          <w:sz w:val="18"/>
          <w:szCs w:val="18"/>
        </w:rPr>
        <w:t>1</w:t>
      </w:r>
      <w:r>
        <w:rPr>
          <w:rFonts w:hAnsi="宋体"/>
          <w:sz w:val="18"/>
          <w:szCs w:val="18"/>
        </w:rPr>
        <w:t xml:space="preserve">. </w:t>
      </w:r>
      <w:r>
        <w:rPr>
          <w:rFonts w:hint="eastAsia" w:hAnsi="宋体"/>
          <w:sz w:val="18"/>
          <w:szCs w:val="18"/>
        </w:rPr>
        <w:t>支撑腿测试装置</w:t>
      </w:r>
    </w:p>
    <w:p>
      <w:pPr>
        <w:pStyle w:val="59"/>
        <w:ind w:firstLine="0" w:firstLineChars="0"/>
        <w:jc w:val="left"/>
      </w:pPr>
      <w:r>
        <w:rPr>
          <w:rFonts w:hint="eastAsia" w:hAnsi="宋体"/>
          <w:sz w:val="18"/>
          <w:szCs w:val="18"/>
        </w:rPr>
        <w:t>2</w:t>
      </w:r>
      <w:r>
        <w:rPr>
          <w:rFonts w:hAnsi="宋体"/>
          <w:sz w:val="18"/>
          <w:szCs w:val="18"/>
        </w:rPr>
        <w:t xml:space="preserve">. </w:t>
      </w:r>
      <w:r>
        <w:rPr>
          <w:rFonts w:hint="eastAsia" w:hAnsi="宋体"/>
          <w:sz w:val="18"/>
          <w:szCs w:val="18"/>
        </w:rPr>
        <w:t>支撑腿足部</w:t>
      </w:r>
    </w:p>
    <w:p>
      <w:pPr>
        <w:pStyle w:val="59"/>
        <w:ind w:firstLine="0" w:firstLineChars="0"/>
        <w:jc w:val="left"/>
      </w:pPr>
      <w:r>
        <w:rPr>
          <w:rFonts w:hAnsi="宋体"/>
          <w:sz w:val="18"/>
          <w:szCs w:val="18"/>
        </w:rPr>
        <w:t xml:space="preserve">3. </w:t>
      </w:r>
      <w:r>
        <w:rPr>
          <w:rFonts w:hint="eastAsia" w:hAnsi="宋体"/>
          <w:sz w:val="18"/>
          <w:szCs w:val="18"/>
        </w:rPr>
        <w:t>SFAD</w:t>
      </w:r>
    </w:p>
    <w:p>
      <w:pPr>
        <w:pStyle w:val="183"/>
        <w:numPr>
          <w:ilvl w:val="0"/>
          <w:numId w:val="61"/>
        </w:numPr>
        <w:ind w:left="448"/>
      </w:pPr>
      <w:r>
        <w:rPr>
          <w:rFonts w:hint="eastAsia"/>
        </w:rPr>
        <w:t>支撑腿测试装置应：</w:t>
      </w:r>
    </w:p>
    <w:p>
      <w:pPr>
        <w:pStyle w:val="177"/>
        <w:numPr>
          <w:ilvl w:val="0"/>
          <w:numId w:val="62"/>
        </w:numPr>
        <w:ind w:left="891" w:leftChars="222" w:hanging="425"/>
        <w:rPr>
          <w:sz w:val="18"/>
          <w:szCs w:val="18"/>
        </w:rPr>
      </w:pPr>
      <w:r>
        <w:rPr>
          <w:rFonts w:hint="eastAsia"/>
          <w:sz w:val="18"/>
          <w:szCs w:val="18"/>
        </w:rPr>
        <w:t>保证试验位于每个i-Size乘坐位置的整个车辆地板接触表面内；</w:t>
      </w:r>
    </w:p>
    <w:p>
      <w:pPr>
        <w:pStyle w:val="177"/>
        <w:numPr>
          <w:ilvl w:val="0"/>
          <w:numId w:val="62"/>
        </w:numPr>
        <w:ind w:left="891" w:leftChars="222" w:hanging="425"/>
      </w:pPr>
      <w:r>
        <w:rPr>
          <w:rFonts w:hint="eastAsia"/>
          <w:sz w:val="18"/>
          <w:szCs w:val="18"/>
        </w:rPr>
        <w:t>刚性地连接到SFAD，以保证施加到SFAD上的载荷直接传递到车辆地板，避免支撑腿测试装置自身变形和造成的力的减少。</w:t>
      </w:r>
    </w:p>
    <w:p>
      <w:pPr>
        <w:pStyle w:val="183"/>
        <w:ind w:left="448"/>
      </w:pPr>
      <w:r>
        <w:rPr>
          <w:rFonts w:hint="eastAsia"/>
        </w:rPr>
        <w:t>支撑腿足部应由一个圆柱体组成，其宽度80mm，直径30mm并且在两侧面的圆边半径为2.5mm。</w:t>
      </w:r>
    </w:p>
    <w:p>
      <w:pPr>
        <w:pStyle w:val="183"/>
        <w:ind w:left="448"/>
      </w:pPr>
      <w:r>
        <w:rPr>
          <w:rFonts w:hint="eastAsia"/>
        </w:rPr>
        <w:t>如果高度分段可调，则每段之间的距离不应大于20mm。</w:t>
      </w:r>
    </w:p>
    <w:p>
      <w:pPr>
        <w:pStyle w:val="86"/>
        <w:numPr>
          <w:ilvl w:val="0"/>
          <w:numId w:val="0"/>
        </w:numPr>
        <w:spacing w:before="156" w:after="156"/>
      </w:pPr>
      <w:r>
        <w:rPr>
          <w:rFonts w:hint="eastAsia"/>
        </w:rPr>
        <w:t>图</w:t>
      </w:r>
      <w:r>
        <w:t xml:space="preserve">G.3 </w:t>
      </w:r>
      <w:r>
        <w:rPr>
          <w:rFonts w:hint="eastAsia"/>
        </w:rPr>
        <w:t>带有支撑腿测试杆的静态加载装置的足部尺寸和调节范围示例</w:t>
      </w:r>
    </w:p>
    <w:p>
      <w:pPr>
        <w:widowControl/>
        <w:adjustRightInd/>
        <w:spacing w:line="240" w:lineRule="auto"/>
        <w:jc w:val="left"/>
        <w:rPr>
          <w:rFonts w:ascii="黑体" w:hAnsi="Times New Roman" w:eastAsia="黑体"/>
          <w:kern w:val="0"/>
          <w:szCs w:val="20"/>
        </w:rPr>
      </w:pPr>
      <w:r>
        <w:br w:type="page"/>
      </w:r>
    </w:p>
    <w:p>
      <w:pPr>
        <w:pStyle w:val="86"/>
        <w:numPr>
          <w:ilvl w:val="0"/>
          <w:numId w:val="0"/>
        </w:numPr>
        <w:spacing w:before="156" w:after="156"/>
        <w:jc w:val="both"/>
      </w:pPr>
      <w:r>
        <mc:AlternateContent>
          <mc:Choice Requires="wps">
            <w:drawing>
              <wp:anchor distT="0" distB="0" distL="114300" distR="114300" simplePos="0" relativeHeight="251667456" behindDoc="0" locked="0" layoutInCell="1" allowOverlap="1">
                <wp:simplePos x="0" y="0"/>
                <wp:positionH relativeFrom="column">
                  <wp:posOffset>2668270</wp:posOffset>
                </wp:positionH>
                <wp:positionV relativeFrom="paragraph">
                  <wp:posOffset>0</wp:posOffset>
                </wp:positionV>
                <wp:extent cx="1282700" cy="36195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12827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ascii="黑体" w:hAnsi="黑体" w:eastAsia="黑体"/>
                                <w:sz w:val="28"/>
                                <w:szCs w:val="28"/>
                              </w:rPr>
                              <w:t>最小值</w:t>
                            </w:r>
                            <w:r>
                              <w:rPr>
                                <w:rFonts w:ascii="Times New Roman" w:hAnsi="Times New Roman"/>
                                <w:sz w:val="28"/>
                                <w:szCs w:val="28"/>
                              </w:rPr>
                              <w:t>13mm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1pt;margin-top:0pt;height:28.5pt;width:101pt;z-index:251667456;mso-width-relative:page;mso-height-relative:page;" fillcolor="#FFFFFF [3201]" filled="t" stroked="f" coordsize="21600,21600" o:gfxdata="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tWHM9IAAAAHAQAADwAA&#10;AAAAAAABACAAAAAiAAAAZHJzL2Rvd25yZXYueG1sUEsBAhQAFAAAAAgAh07iQCA8TK9VAgAAoQQA&#10;AA4AAAAAAAAAAQAgAAAAIQEAAGRycy9lMm9Eb2MueG1sUEsFBgAAAAAGAAYAWQEAAOgFAAAAAA==&#10;">
                <v:fill on="t" focussize="0,0"/>
                <v:stroke on="f" weight="0.5pt"/>
                <v:imagedata o:title=""/>
                <o:lock v:ext="edit" aspectratio="f"/>
                <v:textbox>
                  <w:txbxContent>
                    <w:p>
                      <w:r>
                        <w:rPr>
                          <w:rFonts w:hint="eastAsia" w:ascii="黑体" w:hAnsi="黑体" w:eastAsia="黑体"/>
                          <w:sz w:val="28"/>
                          <w:szCs w:val="28"/>
                        </w:rPr>
                        <w:t>最小值</w:t>
                      </w:r>
                      <w:r>
                        <w:rPr>
                          <w:rFonts w:ascii="Times New Roman" w:hAnsi="Times New Roman"/>
                          <w:sz w:val="28"/>
                          <w:szCs w:val="28"/>
                        </w:rPr>
                        <w:t>13mm</w:t>
                      </w:r>
                    </w:p>
                  </w:txbxContent>
                </v:textbox>
              </v:shape>
            </w:pict>
          </mc:Fallback>
        </mc:AlternateContent>
      </w:r>
    </w:p>
    <w:p>
      <w:pPr>
        <w:pStyle w:val="86"/>
        <w:numPr>
          <w:ilvl w:val="0"/>
          <w:numId w:val="0"/>
        </w:numPr>
        <w:spacing w:before="156" w:after="156"/>
        <w:jc w:val="both"/>
      </w:pPr>
    </w:p>
    <w:p>
      <w:pPr>
        <w:pStyle w:val="86"/>
        <w:numPr>
          <w:ilvl w:val="0"/>
          <w:numId w:val="0"/>
        </w:numPr>
        <w:spacing w:before="156" w:after="156"/>
        <w:jc w:val="both"/>
      </w:pPr>
    </w:p>
    <w:p>
      <w:pPr>
        <w:pStyle w:val="86"/>
        <w:numPr>
          <w:ilvl w:val="0"/>
          <w:numId w:val="0"/>
        </w:numPr>
        <w:spacing w:before="156" w:after="156"/>
        <w:jc w:val="both"/>
      </w:pPr>
    </w:p>
    <w:p>
      <w:pPr>
        <w:pStyle w:val="86"/>
        <w:numPr>
          <w:ilvl w:val="0"/>
          <w:numId w:val="0"/>
        </w:numPr>
        <w:spacing w:before="156" w:after="156"/>
        <w:jc w:val="both"/>
      </w:pPr>
      <w:r>
        <mc:AlternateContent>
          <mc:Choice Requires="wps">
            <w:drawing>
              <wp:anchor distT="0" distB="0" distL="114300" distR="114300" simplePos="0" relativeHeight="251668480" behindDoc="0" locked="0" layoutInCell="1" allowOverlap="1">
                <wp:simplePos x="0" y="0"/>
                <wp:positionH relativeFrom="column">
                  <wp:posOffset>1150620</wp:posOffset>
                </wp:positionH>
                <wp:positionV relativeFrom="paragraph">
                  <wp:posOffset>172085</wp:posOffset>
                </wp:positionV>
                <wp:extent cx="1282700" cy="361950"/>
                <wp:effectExtent l="3175" t="0" r="0" b="0"/>
                <wp:wrapNone/>
                <wp:docPr id="455" name="文本框 455"/>
                <wp:cNvGraphicFramePr/>
                <a:graphic xmlns:a="http://schemas.openxmlformats.org/drawingml/2006/main">
                  <a:graphicData uri="http://schemas.microsoft.com/office/word/2010/wordprocessingShape">
                    <wps:wsp>
                      <wps:cNvSpPr txBox="1"/>
                      <wps:spPr>
                        <a:xfrm rot="16200000">
                          <a:off x="0" y="0"/>
                          <a:ext cx="1282700" cy="361950"/>
                        </a:xfrm>
                        <a:prstGeom prst="rect">
                          <a:avLst/>
                        </a:prstGeom>
                        <a:solidFill>
                          <a:sysClr val="window" lastClr="FFFFFF"/>
                        </a:solidFill>
                        <a:ln w="6350">
                          <a:noFill/>
                        </a:ln>
                        <a:effectLst/>
                      </wps:spPr>
                      <wps:txbx>
                        <w:txbxContent>
                          <w:p>
                            <w:r>
                              <w:rPr>
                                <w:rFonts w:hint="eastAsia" w:ascii="黑体" w:hAnsi="黑体" w:eastAsia="黑体"/>
                                <w:sz w:val="28"/>
                                <w:szCs w:val="28"/>
                              </w:rPr>
                              <w:t>最小值</w:t>
                            </w:r>
                            <w:r>
                              <w:rPr>
                                <w:rFonts w:ascii="Times New Roman" w:hAnsi="Times New Roman"/>
                                <w:sz w:val="28"/>
                                <w:szCs w:val="28"/>
                              </w:rPr>
                              <w:t>13mm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13.55pt;height:28.5pt;width:101pt;rotation:-5898240f;z-index:251668480;mso-width-relative:page;mso-height-relative:page;" fillcolor="#FFFFFF" filled="t" stroked="f" coordsize="21600,21600" o:gfxdata="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tP4IHSAAAACQEAAA8AAAAAAAAAAQAgAAAAIgAAAGRycy9kb3ducmV2LnhtbFBLAQIUABQA&#10;AAAIAIdO4kDB1tbHaAIAAMAEAAAOAAAAAAAAAAEAIAAAACEBAABkcnMvZTJvRG9jLnhtbFBLBQYA&#10;AAAABgAGAFkBAAD7BQAAAAA=&#10;">
                <v:fill on="t" focussize="0,0"/>
                <v:stroke on="f" weight="0.5pt"/>
                <v:imagedata o:title=""/>
                <o:lock v:ext="edit" aspectratio="f"/>
                <v:textbox>
                  <w:txbxContent>
                    <w:p>
                      <w:r>
                        <w:rPr>
                          <w:rFonts w:hint="eastAsia" w:ascii="黑体" w:hAnsi="黑体" w:eastAsia="黑体"/>
                          <w:sz w:val="28"/>
                          <w:szCs w:val="28"/>
                        </w:rPr>
                        <w:t>最小值</w:t>
                      </w:r>
                      <w:r>
                        <w:rPr>
                          <w:rFonts w:ascii="Times New Roman" w:hAnsi="Times New Roman"/>
                          <w:sz w:val="28"/>
                          <w:szCs w:val="28"/>
                        </w:rPr>
                        <w:t>13mm</w:t>
                      </w:r>
                    </w:p>
                  </w:txbxContent>
                </v:textbox>
              </v:shape>
            </w:pict>
          </mc:Fallback>
        </mc:AlternateContent>
      </w:r>
    </w:p>
    <w:p>
      <w:pPr>
        <w:pStyle w:val="86"/>
        <w:numPr>
          <w:ilvl w:val="0"/>
          <w:numId w:val="0"/>
        </w:numPr>
        <w:spacing w:before="156" w:after="156"/>
        <w:jc w:val="both"/>
      </w:pPr>
    </w:p>
    <w:p>
      <w:pPr>
        <w:pStyle w:val="86"/>
        <w:numPr>
          <w:ilvl w:val="0"/>
          <w:numId w:val="0"/>
        </w:numPr>
        <w:spacing w:before="156" w:after="156"/>
        <w:jc w:val="both"/>
      </w:pPr>
    </w:p>
    <w:p>
      <w:pPr>
        <w:pStyle w:val="86"/>
        <w:numPr>
          <w:ilvl w:val="0"/>
          <w:numId w:val="0"/>
        </w:numPr>
        <w:spacing w:before="156" w:after="156"/>
        <w:jc w:val="both"/>
      </w:pPr>
    </w:p>
    <w:p>
      <w:pPr>
        <w:pStyle w:val="86"/>
        <w:numPr>
          <w:ilvl w:val="0"/>
          <w:numId w:val="0"/>
        </w:numPr>
        <w:spacing w:before="156" w:after="156"/>
        <w:jc w:val="both"/>
      </w:pPr>
    </w:p>
    <w:p>
      <w:pPr>
        <w:pStyle w:val="182"/>
      </w:pPr>
      <w:r>
        <w:rPr>
          <w:rFonts w:hint="eastAsia"/>
        </w:rPr>
        <w:t>制造商可选择不同颜色。</w:t>
      </w:r>
    </w:p>
    <w:p>
      <w:pPr>
        <w:pStyle w:val="86"/>
        <w:numPr>
          <w:ilvl w:val="0"/>
          <w:numId w:val="0"/>
        </w:numPr>
        <w:spacing w:before="156" w:after="156"/>
      </w:pPr>
      <w:bookmarkStart w:id="562" w:name="_Ref505693149"/>
      <w:r>
        <w:t>图G.4 i-Size</w:t>
      </w:r>
      <w:r>
        <w:rPr>
          <w:rFonts w:hint="eastAsia"/>
        </w:rPr>
        <w:t>乘坐位置标志</w:t>
      </w:r>
      <w:bookmarkEnd w:id="562"/>
    </w:p>
    <w:p>
      <w:pPr>
        <w:pStyle w:val="86"/>
        <w:numPr>
          <w:ilvl w:val="0"/>
          <w:numId w:val="0"/>
        </w:numPr>
        <w:spacing w:before="156" w:after="156"/>
      </w:pPr>
      <w:r>
        <w:drawing>
          <wp:anchor distT="0" distB="0" distL="114300" distR="114300" simplePos="0" relativeHeight="251666432" behindDoc="0" locked="0" layoutInCell="1" allowOverlap="1">
            <wp:simplePos x="0" y="0"/>
            <wp:positionH relativeFrom="margin">
              <wp:align>center</wp:align>
            </wp:positionH>
            <wp:positionV relativeFrom="margin">
              <wp:align>top</wp:align>
            </wp:positionV>
            <wp:extent cx="2435225" cy="2462530"/>
            <wp:effectExtent l="0" t="0" r="3175" b="0"/>
            <wp:wrapSquare wrapText="bothSides"/>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35225" cy="2462530"/>
                    </a:xfrm>
                    <a:prstGeom prst="rect">
                      <a:avLst/>
                    </a:prstGeom>
                    <a:noFill/>
                    <a:ln>
                      <a:noFill/>
                    </a:ln>
                  </pic:spPr>
                </pic:pic>
              </a:graphicData>
            </a:graphic>
          </wp:anchor>
        </w:drawing>
      </w:r>
      <w:bookmarkEnd w:id="464"/>
      <w:bookmarkStart w:id="563" w:name="BookMark8"/>
      <w:r>
        <w:drawing>
          <wp:inline distT="0" distB="0" distL="0" distR="0">
            <wp:extent cx="1485900" cy="317500"/>
            <wp:effectExtent l="0" t="0" r="0" b="6350"/>
            <wp:docPr id="453" name="图片 453"/>
            <wp:cNvGraphicFramePr/>
            <a:graphic xmlns:a="http://schemas.openxmlformats.org/drawingml/2006/main">
              <a:graphicData uri="http://schemas.openxmlformats.org/drawingml/2006/picture">
                <pic:pic xmlns:pic="http://schemas.openxmlformats.org/drawingml/2006/picture">
                  <pic:nvPicPr>
                    <pic:cNvPr id="453" name="图片 453"/>
                    <pic:cNvPicPr/>
                  </pic:nvPicPr>
                  <pic:blipFill>
                    <a:blip r:embed="rId43"/>
                    <a:stretch>
                      <a:fillRect/>
                    </a:stretch>
                  </pic:blipFill>
                  <pic:spPr>
                    <a:xfrm>
                      <a:off x="0" y="0"/>
                      <a:ext cx="1485900" cy="317500"/>
                    </a:xfrm>
                    <a:prstGeom prst="rect">
                      <a:avLst/>
                    </a:prstGeom>
                  </pic:spPr>
                </pic:pic>
              </a:graphicData>
            </a:graphic>
          </wp:inline>
        </w:drawing>
      </w:r>
      <w:bookmarkEnd w:id="563"/>
    </w:p>
    <w:sectPr>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spacing w:after="0"/>
    </w:pPr>
    <w:r>
      <w:fldChar w:fldCharType="begin"/>
    </w:r>
    <w:r>
      <w:instrText xml:space="preserve"> STYLEREF  标准文件_文件编号  \* MERGEFORMAT </w:instrText>
    </w:r>
    <w:r>
      <w:fldChar w:fldCharType="separate"/>
    </w:r>
    <w:r>
      <w:t>GB 14167—XXXX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fldChar w:fldCharType="begin"/>
    </w:r>
    <w:r>
      <w:instrText xml:space="preserve"> STYLEREF  标准文件_文件编号  \* MERGEFORMAT </w:instrText>
    </w:r>
    <w:r>
      <w:fldChar w:fldCharType="separate"/>
    </w:r>
    <w:r>
      <w:t>GB 14167—XXXX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184706"/>
    <w:multiLevelType w:val="multilevel"/>
    <w:tmpl w:val="07184706"/>
    <w:lvl w:ilvl="0" w:tentative="0">
      <w:start w:val="1"/>
      <w:numFmt w:val="decimal"/>
      <w:lvlText w:val="%1)"/>
      <w:lvlJc w:val="left"/>
      <w:pPr>
        <w:ind w:left="2264" w:hanging="420"/>
      </w:pPr>
    </w:lvl>
    <w:lvl w:ilvl="1" w:tentative="0">
      <w:start w:val="1"/>
      <w:numFmt w:val="lowerLetter"/>
      <w:lvlText w:val="%2)"/>
      <w:lvlJc w:val="left"/>
      <w:pPr>
        <w:ind w:left="2684" w:hanging="420"/>
      </w:pPr>
    </w:lvl>
    <w:lvl w:ilvl="2" w:tentative="0">
      <w:start w:val="1"/>
      <w:numFmt w:val="lowerRoman"/>
      <w:lvlText w:val="%3."/>
      <w:lvlJc w:val="right"/>
      <w:pPr>
        <w:ind w:left="3104" w:hanging="420"/>
      </w:pPr>
    </w:lvl>
    <w:lvl w:ilvl="3" w:tentative="0">
      <w:start w:val="1"/>
      <w:numFmt w:val="decimal"/>
      <w:lvlText w:val="%4."/>
      <w:lvlJc w:val="left"/>
      <w:pPr>
        <w:ind w:left="3524" w:hanging="420"/>
      </w:pPr>
    </w:lvl>
    <w:lvl w:ilvl="4" w:tentative="0">
      <w:start w:val="1"/>
      <w:numFmt w:val="lowerLetter"/>
      <w:lvlText w:val="%5)"/>
      <w:lvlJc w:val="left"/>
      <w:pPr>
        <w:ind w:left="3944" w:hanging="420"/>
      </w:pPr>
    </w:lvl>
    <w:lvl w:ilvl="5" w:tentative="0">
      <w:start w:val="1"/>
      <w:numFmt w:val="lowerRoman"/>
      <w:lvlText w:val="%6."/>
      <w:lvlJc w:val="right"/>
      <w:pPr>
        <w:ind w:left="4364" w:hanging="420"/>
      </w:pPr>
    </w:lvl>
    <w:lvl w:ilvl="6" w:tentative="0">
      <w:start w:val="1"/>
      <w:numFmt w:val="decimal"/>
      <w:lvlText w:val="%7."/>
      <w:lvlJc w:val="left"/>
      <w:pPr>
        <w:ind w:left="4784" w:hanging="420"/>
      </w:pPr>
    </w:lvl>
    <w:lvl w:ilvl="7" w:tentative="0">
      <w:start w:val="1"/>
      <w:numFmt w:val="lowerLetter"/>
      <w:lvlText w:val="%8)"/>
      <w:lvlJc w:val="left"/>
      <w:pPr>
        <w:ind w:left="5204" w:hanging="420"/>
      </w:pPr>
    </w:lvl>
    <w:lvl w:ilvl="8" w:tentative="0">
      <w:start w:val="1"/>
      <w:numFmt w:val="lowerRoman"/>
      <w:lvlText w:val="%9."/>
      <w:lvlJc w:val="right"/>
      <w:pPr>
        <w:ind w:left="5624" w:hanging="420"/>
      </w:pPr>
    </w:lvl>
  </w:abstractNum>
  <w:abstractNum w:abstractNumId="3">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BEB6D72"/>
    <w:multiLevelType w:val="multilevel"/>
    <w:tmpl w:val="0BEB6D72"/>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8">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13668DE"/>
    <w:multiLevelType w:val="multilevel"/>
    <w:tmpl w:val="113668DE"/>
    <w:lvl w:ilvl="0" w:tentative="0">
      <w:start w:val="6"/>
      <w:numFmt w:val="lowerLetter"/>
      <w:pStyle w:val="238"/>
      <w:lvlText w:val="%1)"/>
      <w:lvlJc w:val="left"/>
      <w:pPr>
        <w:tabs>
          <w:tab w:val="left" w:pos="419"/>
        </w:tabs>
        <w:ind w:left="419" w:hanging="419"/>
      </w:pPr>
      <w:rPr>
        <w:rFonts w:hint="eastAsia" w:ascii="宋体" w:hAnsi="宋体" w:eastAsia="宋体"/>
        <w:b w:val="0"/>
        <w:i w:val="0"/>
        <w:sz w:val="20"/>
        <w:szCs w:val="21"/>
        <w:lang w:val="en-GB"/>
      </w:rPr>
    </w:lvl>
    <w:lvl w:ilvl="1" w:tentative="0">
      <w:start w:val="1"/>
      <w:numFmt w:val="decimal"/>
      <w:pStyle w:val="237"/>
      <w:lvlText w:val="%2)"/>
      <w:lvlJc w:val="left"/>
      <w:pPr>
        <w:tabs>
          <w:tab w:val="left" w:pos="2264"/>
        </w:tabs>
        <w:ind w:left="2264" w:hanging="420"/>
      </w:pPr>
      <w:rPr>
        <w:rFonts w:hint="eastAsia"/>
        <w:b w:val="0"/>
        <w:i w:val="0"/>
        <w:sz w:val="20"/>
      </w:rPr>
    </w:lvl>
    <w:lvl w:ilvl="2" w:tentative="0">
      <w:start w:val="1"/>
      <w:numFmt w:val="bullet"/>
      <w:lvlText w:val="—"/>
      <w:lvlJc w:val="left"/>
      <w:pPr>
        <w:tabs>
          <w:tab w:val="left" w:pos="0"/>
        </w:tabs>
        <w:ind w:left="1678" w:hanging="419"/>
      </w:pPr>
      <w:rPr>
        <w:rFonts w:hint="eastAsia" w:ascii="宋体" w:hAnsi="宋体" w:eastAsia="宋体" w:cs="Times New Roman"/>
        <w:b w:val="0"/>
        <w:i w:val="0"/>
        <w:sz w:val="20"/>
        <w:szCs w:val="21"/>
        <w:lang w:val="en-US"/>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0">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D7552B7"/>
    <w:multiLevelType w:val="multilevel"/>
    <w:tmpl w:val="1D7552B7"/>
    <w:lvl w:ilvl="0" w:tentative="0">
      <w:start w:val="1"/>
      <w:numFmt w:val="decimal"/>
      <w:lvlText w:val="%1)"/>
      <w:lvlJc w:val="left"/>
      <w:pPr>
        <w:ind w:left="2264" w:hanging="420"/>
      </w:pPr>
    </w:lvl>
    <w:lvl w:ilvl="1" w:tentative="0">
      <w:start w:val="1"/>
      <w:numFmt w:val="lowerLetter"/>
      <w:lvlText w:val="%2)"/>
      <w:lvlJc w:val="left"/>
      <w:pPr>
        <w:ind w:left="2684" w:hanging="420"/>
      </w:pPr>
    </w:lvl>
    <w:lvl w:ilvl="2" w:tentative="0">
      <w:start w:val="1"/>
      <w:numFmt w:val="lowerRoman"/>
      <w:lvlText w:val="%3."/>
      <w:lvlJc w:val="right"/>
      <w:pPr>
        <w:ind w:left="3104" w:hanging="420"/>
      </w:pPr>
    </w:lvl>
    <w:lvl w:ilvl="3" w:tentative="0">
      <w:start w:val="1"/>
      <w:numFmt w:val="decimal"/>
      <w:lvlText w:val="%4."/>
      <w:lvlJc w:val="left"/>
      <w:pPr>
        <w:ind w:left="3524" w:hanging="420"/>
      </w:pPr>
    </w:lvl>
    <w:lvl w:ilvl="4" w:tentative="0">
      <w:start w:val="1"/>
      <w:numFmt w:val="lowerLetter"/>
      <w:lvlText w:val="%5)"/>
      <w:lvlJc w:val="left"/>
      <w:pPr>
        <w:ind w:left="3944" w:hanging="420"/>
      </w:pPr>
    </w:lvl>
    <w:lvl w:ilvl="5" w:tentative="0">
      <w:start w:val="1"/>
      <w:numFmt w:val="lowerRoman"/>
      <w:lvlText w:val="%6."/>
      <w:lvlJc w:val="right"/>
      <w:pPr>
        <w:ind w:left="4364" w:hanging="420"/>
      </w:pPr>
    </w:lvl>
    <w:lvl w:ilvl="6" w:tentative="0">
      <w:start w:val="1"/>
      <w:numFmt w:val="decimal"/>
      <w:lvlText w:val="%7."/>
      <w:lvlJc w:val="left"/>
      <w:pPr>
        <w:ind w:left="4784" w:hanging="420"/>
      </w:pPr>
    </w:lvl>
    <w:lvl w:ilvl="7" w:tentative="0">
      <w:start w:val="1"/>
      <w:numFmt w:val="lowerLetter"/>
      <w:lvlText w:val="%8)"/>
      <w:lvlJc w:val="left"/>
      <w:pPr>
        <w:ind w:left="5204" w:hanging="420"/>
      </w:pPr>
    </w:lvl>
    <w:lvl w:ilvl="8" w:tentative="0">
      <w:start w:val="1"/>
      <w:numFmt w:val="lowerRoman"/>
      <w:lvlText w:val="%9."/>
      <w:lvlJc w:val="right"/>
      <w:pPr>
        <w:ind w:left="5624" w:hanging="420"/>
      </w:pPr>
    </w:lvl>
  </w:abstractNum>
  <w:abstractNum w:abstractNumId="13">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4">
    <w:nsid w:val="1FC91163"/>
    <w:multiLevelType w:val="multilevel"/>
    <w:tmpl w:val="1FC91163"/>
    <w:lvl w:ilvl="0" w:tentative="0">
      <w:start w:val="1"/>
      <w:numFmt w:val="decimal"/>
      <w:pStyle w:val="247"/>
      <w:suff w:val="nothing"/>
      <w:lvlText w:val="%1"/>
      <w:lvlJc w:val="left"/>
      <w:pPr>
        <w:ind w:left="0" w:firstLine="0"/>
      </w:pPr>
      <w:rPr>
        <w:rFonts w:hint="eastAsia" w:ascii="黑体" w:hAnsi="Times New Roman" w:eastAsia="黑体"/>
        <w:b w:val="0"/>
        <w:i w:val="0"/>
        <w:sz w:val="21"/>
        <w:szCs w:val="21"/>
      </w:rPr>
    </w:lvl>
    <w:lvl w:ilvl="1" w:tentative="0">
      <w:start w:val="1"/>
      <w:numFmt w:val="decimal"/>
      <w:pStyle w:val="246"/>
      <w:suff w:val="nothing"/>
      <w:lvlText w:val="%1.%2"/>
      <w:lvlJc w:val="left"/>
      <w:pPr>
        <w:ind w:left="2411"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248"/>
      <w:suff w:val="nothing"/>
      <w:lvlText w:val="%1.%2.%3"/>
      <w:lvlJc w:val="left"/>
      <w:pPr>
        <w:ind w:left="142" w:firstLine="0"/>
      </w:pPr>
      <w:rPr>
        <w:rFonts w:hint="eastAsia" w:ascii="黑体" w:hAnsi="Times New Roman" w:eastAsia="黑体"/>
        <w:b w:val="0"/>
        <w:i w:val="0"/>
        <w:sz w:val="21"/>
      </w:rPr>
    </w:lvl>
    <w:lvl w:ilvl="3" w:tentative="0">
      <w:start w:val="1"/>
      <w:numFmt w:val="decimal"/>
      <w:pStyle w:val="249"/>
      <w:suff w:val="nothing"/>
      <w:lvlText w:val="%1.%2.%3.%4"/>
      <w:lvlJc w:val="left"/>
      <w:pPr>
        <w:ind w:left="0" w:firstLine="0"/>
      </w:pPr>
      <w:rPr>
        <w:rFonts w:hint="eastAsia" w:ascii="黑体" w:hAnsi="Times New Roman" w:eastAsia="黑体"/>
        <w:b w:val="0"/>
        <w:i w:val="0"/>
        <w:color w:val="000000"/>
        <w:sz w:val="21"/>
      </w:rPr>
    </w:lvl>
    <w:lvl w:ilvl="4" w:tentative="0">
      <w:start w:val="1"/>
      <w:numFmt w:val="decimal"/>
      <w:pStyle w:val="250"/>
      <w:suff w:val="nothing"/>
      <w:lvlText w:val="%1.%2.%3.%4.%5"/>
      <w:lvlJc w:val="left"/>
      <w:pPr>
        <w:ind w:left="0" w:firstLine="0"/>
      </w:pPr>
      <w:rPr>
        <w:rFonts w:hint="eastAsia" w:ascii="黑体" w:hAnsi="Times New Roman" w:eastAsia="黑体"/>
        <w:b w:val="0"/>
        <w:i w:val="0"/>
        <w:sz w:val="21"/>
      </w:rPr>
    </w:lvl>
    <w:lvl w:ilvl="5" w:tentative="0">
      <w:start w:val="1"/>
      <w:numFmt w:val="decimal"/>
      <w:pStyle w:val="251"/>
      <w:suff w:val="nothing"/>
      <w:lvlText w:val="%1.%2.%3.%4.%5.%6"/>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6">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7">
    <w:nsid w:val="3DC27EA3"/>
    <w:multiLevelType w:val="multilevel"/>
    <w:tmpl w:val="3DC27EA3"/>
    <w:lvl w:ilvl="0" w:tentative="0">
      <w:start w:val="1"/>
      <w:numFmt w:val="decimal"/>
      <w:lvlText w:val="%1)"/>
      <w:lvlJc w:val="left"/>
      <w:pPr>
        <w:ind w:left="2264" w:hanging="420"/>
      </w:pPr>
    </w:lvl>
    <w:lvl w:ilvl="1" w:tentative="0">
      <w:start w:val="1"/>
      <w:numFmt w:val="lowerLetter"/>
      <w:lvlText w:val="%2)"/>
      <w:lvlJc w:val="left"/>
      <w:pPr>
        <w:ind w:left="2684" w:hanging="420"/>
      </w:pPr>
    </w:lvl>
    <w:lvl w:ilvl="2" w:tentative="0">
      <w:start w:val="1"/>
      <w:numFmt w:val="lowerRoman"/>
      <w:lvlText w:val="%3."/>
      <w:lvlJc w:val="right"/>
      <w:pPr>
        <w:ind w:left="3104" w:hanging="420"/>
      </w:pPr>
    </w:lvl>
    <w:lvl w:ilvl="3" w:tentative="0">
      <w:start w:val="1"/>
      <w:numFmt w:val="decimal"/>
      <w:lvlText w:val="%4."/>
      <w:lvlJc w:val="left"/>
      <w:pPr>
        <w:ind w:left="3524" w:hanging="420"/>
      </w:pPr>
    </w:lvl>
    <w:lvl w:ilvl="4" w:tentative="0">
      <w:start w:val="1"/>
      <w:numFmt w:val="lowerLetter"/>
      <w:lvlText w:val="%5)"/>
      <w:lvlJc w:val="left"/>
      <w:pPr>
        <w:ind w:left="3944" w:hanging="420"/>
      </w:pPr>
    </w:lvl>
    <w:lvl w:ilvl="5" w:tentative="0">
      <w:start w:val="1"/>
      <w:numFmt w:val="lowerRoman"/>
      <w:lvlText w:val="%6."/>
      <w:lvlJc w:val="right"/>
      <w:pPr>
        <w:ind w:left="4364" w:hanging="420"/>
      </w:pPr>
    </w:lvl>
    <w:lvl w:ilvl="6" w:tentative="0">
      <w:start w:val="1"/>
      <w:numFmt w:val="decimal"/>
      <w:lvlText w:val="%7."/>
      <w:lvlJc w:val="left"/>
      <w:pPr>
        <w:ind w:left="4784" w:hanging="420"/>
      </w:pPr>
    </w:lvl>
    <w:lvl w:ilvl="7" w:tentative="0">
      <w:start w:val="1"/>
      <w:numFmt w:val="lowerLetter"/>
      <w:lvlText w:val="%8)"/>
      <w:lvlJc w:val="left"/>
      <w:pPr>
        <w:ind w:left="5204" w:hanging="420"/>
      </w:pPr>
    </w:lvl>
    <w:lvl w:ilvl="8" w:tentative="0">
      <w:start w:val="1"/>
      <w:numFmt w:val="lowerRoman"/>
      <w:lvlText w:val="%9."/>
      <w:lvlJc w:val="right"/>
      <w:pPr>
        <w:ind w:left="5624" w:hanging="420"/>
      </w:pPr>
    </w:lvl>
  </w:abstractNum>
  <w:abstractNum w:abstractNumId="18">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9">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3827"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1">
    <w:nsid w:val="4C6A3818"/>
    <w:multiLevelType w:val="multilevel"/>
    <w:tmpl w:val="4C6A3818"/>
    <w:lvl w:ilvl="0" w:tentative="0">
      <w:start w:val="1"/>
      <w:numFmt w:val="decimal"/>
      <w:lvlText w:val="%1)"/>
      <w:lvlJc w:val="left"/>
      <w:pPr>
        <w:ind w:left="2264" w:hanging="420"/>
      </w:pPr>
    </w:lvl>
    <w:lvl w:ilvl="1" w:tentative="0">
      <w:start w:val="1"/>
      <w:numFmt w:val="lowerLetter"/>
      <w:lvlText w:val="%2)"/>
      <w:lvlJc w:val="left"/>
      <w:pPr>
        <w:ind w:left="2684" w:hanging="420"/>
      </w:pPr>
    </w:lvl>
    <w:lvl w:ilvl="2" w:tentative="0">
      <w:start w:val="1"/>
      <w:numFmt w:val="lowerRoman"/>
      <w:lvlText w:val="%3."/>
      <w:lvlJc w:val="right"/>
      <w:pPr>
        <w:ind w:left="3104" w:hanging="420"/>
      </w:pPr>
    </w:lvl>
    <w:lvl w:ilvl="3" w:tentative="0">
      <w:start w:val="1"/>
      <w:numFmt w:val="decimal"/>
      <w:lvlText w:val="%4."/>
      <w:lvlJc w:val="left"/>
      <w:pPr>
        <w:ind w:left="3524" w:hanging="420"/>
      </w:pPr>
    </w:lvl>
    <w:lvl w:ilvl="4" w:tentative="0">
      <w:start w:val="1"/>
      <w:numFmt w:val="lowerLetter"/>
      <w:lvlText w:val="%5)"/>
      <w:lvlJc w:val="left"/>
      <w:pPr>
        <w:ind w:left="3944" w:hanging="420"/>
      </w:pPr>
    </w:lvl>
    <w:lvl w:ilvl="5" w:tentative="0">
      <w:start w:val="1"/>
      <w:numFmt w:val="lowerRoman"/>
      <w:lvlText w:val="%6."/>
      <w:lvlJc w:val="right"/>
      <w:pPr>
        <w:ind w:left="4364" w:hanging="420"/>
      </w:pPr>
    </w:lvl>
    <w:lvl w:ilvl="6" w:tentative="0">
      <w:start w:val="1"/>
      <w:numFmt w:val="decimal"/>
      <w:lvlText w:val="%7."/>
      <w:lvlJc w:val="left"/>
      <w:pPr>
        <w:ind w:left="4784" w:hanging="420"/>
      </w:pPr>
    </w:lvl>
    <w:lvl w:ilvl="7" w:tentative="0">
      <w:start w:val="1"/>
      <w:numFmt w:val="lowerLetter"/>
      <w:lvlText w:val="%8)"/>
      <w:lvlJc w:val="left"/>
      <w:pPr>
        <w:ind w:left="5204" w:hanging="420"/>
      </w:pPr>
    </w:lvl>
    <w:lvl w:ilvl="8" w:tentative="0">
      <w:start w:val="1"/>
      <w:numFmt w:val="lowerRoman"/>
      <w:lvlText w:val="%9."/>
      <w:lvlJc w:val="right"/>
      <w:pPr>
        <w:ind w:left="5624" w:hanging="420"/>
      </w:pPr>
    </w:lvl>
  </w:abstractNum>
  <w:abstractNum w:abstractNumId="22">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3">
    <w:nsid w:val="4F6E689E"/>
    <w:multiLevelType w:val="multilevel"/>
    <w:tmpl w:val="4F6E689E"/>
    <w:lvl w:ilvl="0" w:tentative="0">
      <w:start w:val="1"/>
      <w:numFmt w:val="decimal"/>
      <w:lvlText w:val="%1)"/>
      <w:lvlJc w:val="left"/>
      <w:pPr>
        <w:ind w:left="1679" w:hanging="420"/>
      </w:pPr>
    </w:lvl>
    <w:lvl w:ilvl="1" w:tentative="0">
      <w:start w:val="1"/>
      <w:numFmt w:val="lowerLetter"/>
      <w:lvlText w:val="%2)"/>
      <w:lvlJc w:val="left"/>
      <w:pPr>
        <w:ind w:left="2099" w:hanging="420"/>
      </w:pPr>
    </w:lvl>
    <w:lvl w:ilvl="2" w:tentative="0">
      <w:start w:val="1"/>
      <w:numFmt w:val="lowerRoman"/>
      <w:lvlText w:val="%3."/>
      <w:lvlJc w:val="right"/>
      <w:pPr>
        <w:ind w:left="2519" w:hanging="420"/>
      </w:pPr>
    </w:lvl>
    <w:lvl w:ilvl="3" w:tentative="0">
      <w:start w:val="1"/>
      <w:numFmt w:val="decimal"/>
      <w:lvlText w:val="%4."/>
      <w:lvlJc w:val="left"/>
      <w:pPr>
        <w:ind w:left="2939" w:hanging="420"/>
      </w:pPr>
    </w:lvl>
    <w:lvl w:ilvl="4" w:tentative="0">
      <w:start w:val="1"/>
      <w:numFmt w:val="lowerLetter"/>
      <w:lvlText w:val="%5)"/>
      <w:lvlJc w:val="left"/>
      <w:pPr>
        <w:ind w:left="3359" w:hanging="420"/>
      </w:pPr>
    </w:lvl>
    <w:lvl w:ilvl="5" w:tentative="0">
      <w:start w:val="1"/>
      <w:numFmt w:val="lowerRoman"/>
      <w:lvlText w:val="%6."/>
      <w:lvlJc w:val="right"/>
      <w:pPr>
        <w:ind w:left="3779" w:hanging="420"/>
      </w:pPr>
    </w:lvl>
    <w:lvl w:ilvl="6" w:tentative="0">
      <w:start w:val="1"/>
      <w:numFmt w:val="decimal"/>
      <w:lvlText w:val="%7."/>
      <w:lvlJc w:val="left"/>
      <w:pPr>
        <w:ind w:left="4199" w:hanging="420"/>
      </w:pPr>
    </w:lvl>
    <w:lvl w:ilvl="7" w:tentative="0">
      <w:start w:val="1"/>
      <w:numFmt w:val="lowerLetter"/>
      <w:lvlText w:val="%8)"/>
      <w:lvlJc w:val="left"/>
      <w:pPr>
        <w:ind w:left="4619" w:hanging="420"/>
      </w:pPr>
    </w:lvl>
    <w:lvl w:ilvl="8" w:tentative="0">
      <w:start w:val="1"/>
      <w:numFmt w:val="lowerRoman"/>
      <w:lvlText w:val="%9."/>
      <w:lvlJc w:val="right"/>
      <w:pPr>
        <w:ind w:left="5039" w:hanging="420"/>
      </w:pPr>
    </w:lvl>
  </w:abstractNum>
  <w:abstractNum w:abstractNumId="24">
    <w:nsid w:val="4F844ED3"/>
    <w:multiLevelType w:val="multilevel"/>
    <w:tmpl w:val="4F844ED3"/>
    <w:lvl w:ilvl="0" w:tentative="0">
      <w:start w:val="1"/>
      <w:numFmt w:val="decimal"/>
      <w:lvlText w:val="%1)"/>
      <w:lvlJc w:val="left"/>
      <w:pPr>
        <w:ind w:left="2264" w:hanging="420"/>
      </w:pPr>
    </w:lvl>
    <w:lvl w:ilvl="1" w:tentative="0">
      <w:start w:val="15"/>
      <w:numFmt w:val="decimal"/>
      <w:lvlText w:val="%2—"/>
      <w:lvlJc w:val="left"/>
      <w:pPr>
        <w:ind w:left="2624" w:hanging="360"/>
      </w:pPr>
      <w:rPr>
        <w:rFonts w:hint="default"/>
      </w:rPr>
    </w:lvl>
    <w:lvl w:ilvl="2" w:tentative="0">
      <w:start w:val="1"/>
      <w:numFmt w:val="lowerRoman"/>
      <w:lvlText w:val="%3."/>
      <w:lvlJc w:val="right"/>
      <w:pPr>
        <w:ind w:left="3104" w:hanging="420"/>
      </w:pPr>
    </w:lvl>
    <w:lvl w:ilvl="3" w:tentative="0">
      <w:start w:val="1"/>
      <w:numFmt w:val="decimal"/>
      <w:lvlText w:val="%4."/>
      <w:lvlJc w:val="left"/>
      <w:pPr>
        <w:ind w:left="3524" w:hanging="420"/>
      </w:pPr>
    </w:lvl>
    <w:lvl w:ilvl="4" w:tentative="0">
      <w:start w:val="1"/>
      <w:numFmt w:val="lowerLetter"/>
      <w:lvlText w:val="%5)"/>
      <w:lvlJc w:val="left"/>
      <w:pPr>
        <w:ind w:left="3944" w:hanging="420"/>
      </w:pPr>
    </w:lvl>
    <w:lvl w:ilvl="5" w:tentative="0">
      <w:start w:val="1"/>
      <w:numFmt w:val="lowerRoman"/>
      <w:lvlText w:val="%6."/>
      <w:lvlJc w:val="right"/>
      <w:pPr>
        <w:ind w:left="4364" w:hanging="420"/>
      </w:pPr>
    </w:lvl>
    <w:lvl w:ilvl="6" w:tentative="0">
      <w:start w:val="1"/>
      <w:numFmt w:val="decimal"/>
      <w:lvlText w:val="%7."/>
      <w:lvlJc w:val="left"/>
      <w:pPr>
        <w:ind w:left="4784" w:hanging="420"/>
      </w:pPr>
    </w:lvl>
    <w:lvl w:ilvl="7" w:tentative="0">
      <w:start w:val="1"/>
      <w:numFmt w:val="lowerLetter"/>
      <w:lvlText w:val="%8)"/>
      <w:lvlJc w:val="left"/>
      <w:pPr>
        <w:ind w:left="5204" w:hanging="420"/>
      </w:pPr>
    </w:lvl>
    <w:lvl w:ilvl="8" w:tentative="0">
      <w:start w:val="1"/>
      <w:numFmt w:val="lowerRoman"/>
      <w:lvlText w:val="%9."/>
      <w:lvlJc w:val="right"/>
      <w:pPr>
        <w:ind w:left="5624" w:hanging="420"/>
      </w:pPr>
    </w:lvl>
  </w:abstractNum>
  <w:abstractNum w:abstractNumId="25">
    <w:nsid w:val="53937CE4"/>
    <w:multiLevelType w:val="multilevel"/>
    <w:tmpl w:val="53937CE4"/>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26">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7">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8">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31">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2">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3">
    <w:nsid w:val="657D3FBC"/>
    <w:multiLevelType w:val="multilevel"/>
    <w:tmpl w:val="657D3FBC"/>
    <w:lvl w:ilvl="0" w:tentative="0">
      <w:start w:val="1"/>
      <w:numFmt w:val="upperLetter"/>
      <w:pStyle w:val="79"/>
      <w:suff w:val="nothing"/>
      <w:lvlText w:val="附录%1"/>
      <w:lvlJc w:val="left"/>
      <w:pPr>
        <w:ind w:left="0" w:firstLine="0"/>
      </w:pPr>
      <w:rPr>
        <w:rFonts w:hint="eastAsia"/>
        <w:spacing w:val="100"/>
        <w:lang w:val="en-US"/>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5">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14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8">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9">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40">
    <w:nsid w:val="6F696144"/>
    <w:multiLevelType w:val="multilevel"/>
    <w:tmpl w:val="6F696144"/>
    <w:lvl w:ilvl="0" w:tentative="0">
      <w:start w:val="1"/>
      <w:numFmt w:val="decimal"/>
      <w:lvlText w:val="%1)"/>
      <w:lvlJc w:val="left"/>
      <w:pPr>
        <w:ind w:left="1679" w:hanging="420"/>
      </w:pPr>
    </w:lvl>
    <w:lvl w:ilvl="1" w:tentative="0">
      <w:start w:val="8"/>
      <w:numFmt w:val="decimal"/>
      <w:lvlText w:val="%2—"/>
      <w:lvlJc w:val="left"/>
      <w:pPr>
        <w:ind w:left="2039" w:hanging="360"/>
      </w:pPr>
      <w:rPr>
        <w:rFonts w:hint="default"/>
      </w:rPr>
    </w:lvl>
    <w:lvl w:ilvl="2" w:tentative="0">
      <w:start w:val="1"/>
      <w:numFmt w:val="lowerRoman"/>
      <w:lvlText w:val="%3."/>
      <w:lvlJc w:val="right"/>
      <w:pPr>
        <w:ind w:left="2519" w:hanging="420"/>
      </w:pPr>
    </w:lvl>
    <w:lvl w:ilvl="3" w:tentative="0">
      <w:start w:val="1"/>
      <w:numFmt w:val="decimal"/>
      <w:lvlText w:val="%4."/>
      <w:lvlJc w:val="left"/>
      <w:pPr>
        <w:ind w:left="2939" w:hanging="420"/>
      </w:pPr>
    </w:lvl>
    <w:lvl w:ilvl="4" w:tentative="0">
      <w:start w:val="1"/>
      <w:numFmt w:val="lowerLetter"/>
      <w:lvlText w:val="%5)"/>
      <w:lvlJc w:val="left"/>
      <w:pPr>
        <w:ind w:left="3359" w:hanging="420"/>
      </w:pPr>
    </w:lvl>
    <w:lvl w:ilvl="5" w:tentative="0">
      <w:start w:val="1"/>
      <w:numFmt w:val="lowerRoman"/>
      <w:lvlText w:val="%6."/>
      <w:lvlJc w:val="right"/>
      <w:pPr>
        <w:ind w:left="3779" w:hanging="420"/>
      </w:pPr>
    </w:lvl>
    <w:lvl w:ilvl="6" w:tentative="0">
      <w:start w:val="1"/>
      <w:numFmt w:val="decimal"/>
      <w:lvlText w:val="%7."/>
      <w:lvlJc w:val="left"/>
      <w:pPr>
        <w:ind w:left="4199" w:hanging="420"/>
      </w:pPr>
    </w:lvl>
    <w:lvl w:ilvl="7" w:tentative="0">
      <w:start w:val="1"/>
      <w:numFmt w:val="lowerLetter"/>
      <w:lvlText w:val="%8)"/>
      <w:lvlJc w:val="left"/>
      <w:pPr>
        <w:ind w:left="4619" w:hanging="420"/>
      </w:pPr>
    </w:lvl>
    <w:lvl w:ilvl="8" w:tentative="0">
      <w:start w:val="1"/>
      <w:numFmt w:val="lowerRoman"/>
      <w:lvlText w:val="%9."/>
      <w:lvlJc w:val="right"/>
      <w:pPr>
        <w:ind w:left="5039" w:hanging="420"/>
      </w:pPr>
    </w:lvl>
  </w:abstractNum>
  <w:abstractNum w:abstractNumId="41">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7E5970A5"/>
    <w:multiLevelType w:val="multilevel"/>
    <w:tmpl w:val="7E5970A5"/>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num w:numId="1">
    <w:abstractNumId w:val="0"/>
  </w:num>
  <w:num w:numId="2">
    <w:abstractNumId w:val="37"/>
  </w:num>
  <w:num w:numId="3">
    <w:abstractNumId w:val="6"/>
  </w:num>
  <w:num w:numId="4">
    <w:abstractNumId w:val="33"/>
  </w:num>
  <w:num w:numId="5">
    <w:abstractNumId w:val="28"/>
  </w:num>
  <w:num w:numId="6">
    <w:abstractNumId w:val="19"/>
  </w:num>
  <w:num w:numId="7">
    <w:abstractNumId w:val="11"/>
  </w:num>
  <w:num w:numId="8">
    <w:abstractNumId w:val="4"/>
  </w:num>
  <w:num w:numId="9">
    <w:abstractNumId w:val="13"/>
  </w:num>
  <w:num w:numId="10">
    <w:abstractNumId w:val="26"/>
  </w:num>
  <w:num w:numId="11">
    <w:abstractNumId w:val="35"/>
  </w:num>
  <w:num w:numId="12">
    <w:abstractNumId w:val="16"/>
  </w:num>
  <w:num w:numId="13">
    <w:abstractNumId w:val="18"/>
  </w:num>
  <w:num w:numId="14">
    <w:abstractNumId w:val="10"/>
  </w:num>
  <w:num w:numId="15">
    <w:abstractNumId w:val="29"/>
  </w:num>
  <w:num w:numId="16">
    <w:abstractNumId w:val="31"/>
  </w:num>
  <w:num w:numId="17">
    <w:abstractNumId w:val="27"/>
  </w:num>
  <w:num w:numId="18">
    <w:abstractNumId w:val="39"/>
  </w:num>
  <w:num w:numId="19">
    <w:abstractNumId w:val="22"/>
  </w:num>
  <w:num w:numId="20">
    <w:abstractNumId w:val="1"/>
  </w:num>
  <w:num w:numId="21">
    <w:abstractNumId w:val="15"/>
  </w:num>
  <w:num w:numId="22">
    <w:abstractNumId w:val="41"/>
  </w:num>
  <w:num w:numId="23">
    <w:abstractNumId w:val="30"/>
  </w:num>
  <w:num w:numId="24">
    <w:abstractNumId w:val="8"/>
  </w:num>
  <w:num w:numId="25">
    <w:abstractNumId w:val="36"/>
  </w:num>
  <w:num w:numId="26">
    <w:abstractNumId w:val="38"/>
  </w:num>
  <w:num w:numId="27">
    <w:abstractNumId w:val="3"/>
  </w:num>
  <w:num w:numId="28">
    <w:abstractNumId w:val="5"/>
  </w:num>
  <w:num w:numId="29">
    <w:abstractNumId w:val="20"/>
  </w:num>
  <w:num w:numId="30">
    <w:abstractNumId w:val="34"/>
  </w:num>
  <w:num w:numId="31">
    <w:abstractNumId w:val="32"/>
  </w:num>
  <w:num w:numId="32">
    <w:abstractNumId w:val="9"/>
  </w:num>
  <w:num w:numId="33">
    <w:abstractNumId w:val="14"/>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7"/>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1"/>
  </w:num>
  <w:num w:numId="42">
    <w:abstractNumId w:val="2"/>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7"/>
  </w:num>
  <w:num w:numId="48">
    <w:abstractNumId w:val="24"/>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715"/>
    <w:rsid w:val="0000040A"/>
    <w:rsid w:val="00000A94"/>
    <w:rsid w:val="00001972"/>
    <w:rsid w:val="00001D9A"/>
    <w:rsid w:val="00004293"/>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5A71"/>
    <w:rsid w:val="00077B64"/>
    <w:rsid w:val="00080A1C"/>
    <w:rsid w:val="00082317"/>
    <w:rsid w:val="00083D2C"/>
    <w:rsid w:val="00086AA1"/>
    <w:rsid w:val="00087A77"/>
    <w:rsid w:val="00090CA6"/>
    <w:rsid w:val="00090D28"/>
    <w:rsid w:val="00092B8A"/>
    <w:rsid w:val="00092FB0"/>
    <w:rsid w:val="000934C5"/>
    <w:rsid w:val="00093D25"/>
    <w:rsid w:val="00094D73"/>
    <w:rsid w:val="000950F8"/>
    <w:rsid w:val="00096D63"/>
    <w:rsid w:val="000A0B60"/>
    <w:rsid w:val="000A0EB8"/>
    <w:rsid w:val="000A19FC"/>
    <w:rsid w:val="000A296B"/>
    <w:rsid w:val="000A7311"/>
    <w:rsid w:val="000B060F"/>
    <w:rsid w:val="000B0A3C"/>
    <w:rsid w:val="000B1592"/>
    <w:rsid w:val="000B1FF2"/>
    <w:rsid w:val="000B3CDA"/>
    <w:rsid w:val="000B3F1A"/>
    <w:rsid w:val="000B6A0B"/>
    <w:rsid w:val="000C0F6C"/>
    <w:rsid w:val="000C11DB"/>
    <w:rsid w:val="000C2FBD"/>
    <w:rsid w:val="000C3E10"/>
    <w:rsid w:val="000C4B41"/>
    <w:rsid w:val="000C57D6"/>
    <w:rsid w:val="000C7666"/>
    <w:rsid w:val="000D0A9C"/>
    <w:rsid w:val="000D1795"/>
    <w:rsid w:val="000D329A"/>
    <w:rsid w:val="000D4B9C"/>
    <w:rsid w:val="000D4EB6"/>
    <w:rsid w:val="000D753B"/>
    <w:rsid w:val="000E44F6"/>
    <w:rsid w:val="000E4C9E"/>
    <w:rsid w:val="000E6FD7"/>
    <w:rsid w:val="000F06E1"/>
    <w:rsid w:val="000F0E3C"/>
    <w:rsid w:val="000F19D5"/>
    <w:rsid w:val="000F2E41"/>
    <w:rsid w:val="000F4AEA"/>
    <w:rsid w:val="000F4E1B"/>
    <w:rsid w:val="000F6501"/>
    <w:rsid w:val="000F67E9"/>
    <w:rsid w:val="001016A7"/>
    <w:rsid w:val="00104926"/>
    <w:rsid w:val="00113B1E"/>
    <w:rsid w:val="001144B7"/>
    <w:rsid w:val="0011711C"/>
    <w:rsid w:val="001237B2"/>
    <w:rsid w:val="00124E4F"/>
    <w:rsid w:val="00125B39"/>
    <w:rsid w:val="001260B7"/>
    <w:rsid w:val="001265CB"/>
    <w:rsid w:val="001275F1"/>
    <w:rsid w:val="001321C6"/>
    <w:rsid w:val="001325C4"/>
    <w:rsid w:val="00133010"/>
    <w:rsid w:val="001337A1"/>
    <w:rsid w:val="001338EE"/>
    <w:rsid w:val="00133AAE"/>
    <w:rsid w:val="00135323"/>
    <w:rsid w:val="001356C4"/>
    <w:rsid w:val="00140944"/>
    <w:rsid w:val="00141114"/>
    <w:rsid w:val="00142969"/>
    <w:rsid w:val="001448DD"/>
    <w:rsid w:val="001457E7"/>
    <w:rsid w:val="00145D9D"/>
    <w:rsid w:val="00146388"/>
    <w:rsid w:val="0015223E"/>
    <w:rsid w:val="001529E5"/>
    <w:rsid w:val="00153C7E"/>
    <w:rsid w:val="0015470F"/>
    <w:rsid w:val="00156B25"/>
    <w:rsid w:val="00156E1A"/>
    <w:rsid w:val="001577FC"/>
    <w:rsid w:val="00157B55"/>
    <w:rsid w:val="001642FA"/>
    <w:rsid w:val="001649EB"/>
    <w:rsid w:val="00164BAF"/>
    <w:rsid w:val="00164FA8"/>
    <w:rsid w:val="00165065"/>
    <w:rsid w:val="00165434"/>
    <w:rsid w:val="0016580B"/>
    <w:rsid w:val="00165F49"/>
    <w:rsid w:val="00166B88"/>
    <w:rsid w:val="0016770A"/>
    <w:rsid w:val="001678D6"/>
    <w:rsid w:val="00170804"/>
    <w:rsid w:val="001708E9"/>
    <w:rsid w:val="0017340B"/>
    <w:rsid w:val="00173FB1"/>
    <w:rsid w:val="00176DFD"/>
    <w:rsid w:val="00180EE1"/>
    <w:rsid w:val="001852C9"/>
    <w:rsid w:val="00190087"/>
    <w:rsid w:val="001913C4"/>
    <w:rsid w:val="0019348F"/>
    <w:rsid w:val="00193A07"/>
    <w:rsid w:val="001947CA"/>
    <w:rsid w:val="00194C95"/>
    <w:rsid w:val="00195C34"/>
    <w:rsid w:val="001A1A53"/>
    <w:rsid w:val="001A234A"/>
    <w:rsid w:val="001A3594"/>
    <w:rsid w:val="001B06E8"/>
    <w:rsid w:val="001B71D0"/>
    <w:rsid w:val="001B71EE"/>
    <w:rsid w:val="001C04A8"/>
    <w:rsid w:val="001C2C03"/>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2A8C"/>
    <w:rsid w:val="001E3CC4"/>
    <w:rsid w:val="001E4882"/>
    <w:rsid w:val="001E73AB"/>
    <w:rsid w:val="001F092D"/>
    <w:rsid w:val="001F143A"/>
    <w:rsid w:val="001F1605"/>
    <w:rsid w:val="001F2508"/>
    <w:rsid w:val="001F3867"/>
    <w:rsid w:val="001F4816"/>
    <w:rsid w:val="001F69B4"/>
    <w:rsid w:val="001F77C7"/>
    <w:rsid w:val="00200183"/>
    <w:rsid w:val="0020107D"/>
    <w:rsid w:val="00202AA4"/>
    <w:rsid w:val="002031F7"/>
    <w:rsid w:val="002040E6"/>
    <w:rsid w:val="0020527B"/>
    <w:rsid w:val="00210B15"/>
    <w:rsid w:val="002142EA"/>
    <w:rsid w:val="002204BB"/>
    <w:rsid w:val="00221B79"/>
    <w:rsid w:val="00221C6B"/>
    <w:rsid w:val="002253A1"/>
    <w:rsid w:val="00225CF8"/>
    <w:rsid w:val="0022794E"/>
    <w:rsid w:val="00227FF3"/>
    <w:rsid w:val="00233D64"/>
    <w:rsid w:val="0023482A"/>
    <w:rsid w:val="002359CB"/>
    <w:rsid w:val="00242EA3"/>
    <w:rsid w:val="00243540"/>
    <w:rsid w:val="0024497B"/>
    <w:rsid w:val="0024515B"/>
    <w:rsid w:val="00246021"/>
    <w:rsid w:val="0024666E"/>
    <w:rsid w:val="00247F52"/>
    <w:rsid w:val="00250B25"/>
    <w:rsid w:val="00250BBE"/>
    <w:rsid w:val="0025194F"/>
    <w:rsid w:val="00254D74"/>
    <w:rsid w:val="0026148A"/>
    <w:rsid w:val="00262696"/>
    <w:rsid w:val="002643C3"/>
    <w:rsid w:val="00264A0C"/>
    <w:rsid w:val="00267EF4"/>
    <w:rsid w:val="00270CB8"/>
    <w:rsid w:val="00272B08"/>
    <w:rsid w:val="00277DB1"/>
    <w:rsid w:val="00281BB8"/>
    <w:rsid w:val="00281E9E"/>
    <w:rsid w:val="00285170"/>
    <w:rsid w:val="00285361"/>
    <w:rsid w:val="0028795F"/>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5C7D"/>
    <w:rsid w:val="002B7332"/>
    <w:rsid w:val="002B7F51"/>
    <w:rsid w:val="002C09E7"/>
    <w:rsid w:val="002C1B28"/>
    <w:rsid w:val="002C3F07"/>
    <w:rsid w:val="002C5278"/>
    <w:rsid w:val="002C7EBB"/>
    <w:rsid w:val="002D06C1"/>
    <w:rsid w:val="002D42B5"/>
    <w:rsid w:val="002D4F1A"/>
    <w:rsid w:val="002D4F82"/>
    <w:rsid w:val="002D6EC6"/>
    <w:rsid w:val="002D79AC"/>
    <w:rsid w:val="002E039D"/>
    <w:rsid w:val="002E314E"/>
    <w:rsid w:val="002E4D5A"/>
    <w:rsid w:val="002E6326"/>
    <w:rsid w:val="002F2EA5"/>
    <w:rsid w:val="002F30E0"/>
    <w:rsid w:val="002F3158"/>
    <w:rsid w:val="002F35E4"/>
    <w:rsid w:val="002F3730"/>
    <w:rsid w:val="002F38E1"/>
    <w:rsid w:val="002F7AF6"/>
    <w:rsid w:val="00300E63"/>
    <w:rsid w:val="00302F5F"/>
    <w:rsid w:val="0030441D"/>
    <w:rsid w:val="00306063"/>
    <w:rsid w:val="0030770F"/>
    <w:rsid w:val="00313B85"/>
    <w:rsid w:val="0031401C"/>
    <w:rsid w:val="00314BDF"/>
    <w:rsid w:val="00317988"/>
    <w:rsid w:val="003221B4"/>
    <w:rsid w:val="00322E62"/>
    <w:rsid w:val="00324CF3"/>
    <w:rsid w:val="00324EDD"/>
    <w:rsid w:val="0033036A"/>
    <w:rsid w:val="003331C9"/>
    <w:rsid w:val="00336C64"/>
    <w:rsid w:val="00337162"/>
    <w:rsid w:val="0034194F"/>
    <w:rsid w:val="00343DE2"/>
    <w:rsid w:val="00344605"/>
    <w:rsid w:val="003474AA"/>
    <w:rsid w:val="00350D1D"/>
    <w:rsid w:val="00352C83"/>
    <w:rsid w:val="003615D2"/>
    <w:rsid w:val="0036429C"/>
    <w:rsid w:val="00364A53"/>
    <w:rsid w:val="003654CB"/>
    <w:rsid w:val="00365F86"/>
    <w:rsid w:val="00365F87"/>
    <w:rsid w:val="003705F4"/>
    <w:rsid w:val="00370D58"/>
    <w:rsid w:val="00371316"/>
    <w:rsid w:val="003721E2"/>
    <w:rsid w:val="003746FF"/>
    <w:rsid w:val="00374A3C"/>
    <w:rsid w:val="003750C8"/>
    <w:rsid w:val="00376713"/>
    <w:rsid w:val="00377E98"/>
    <w:rsid w:val="00381815"/>
    <w:rsid w:val="003819AF"/>
    <w:rsid w:val="003820E9"/>
    <w:rsid w:val="00382DE7"/>
    <w:rsid w:val="00384FFC"/>
    <w:rsid w:val="003872FC"/>
    <w:rsid w:val="00387ADC"/>
    <w:rsid w:val="00390020"/>
    <w:rsid w:val="003903D6"/>
    <w:rsid w:val="003906E5"/>
    <w:rsid w:val="00390749"/>
    <w:rsid w:val="00390EE6"/>
    <w:rsid w:val="0039118F"/>
    <w:rsid w:val="00392AD7"/>
    <w:rsid w:val="00392C1E"/>
    <w:rsid w:val="003938D9"/>
    <w:rsid w:val="00394376"/>
    <w:rsid w:val="003943FF"/>
    <w:rsid w:val="003974EB"/>
    <w:rsid w:val="00397CC5"/>
    <w:rsid w:val="003A1582"/>
    <w:rsid w:val="003A4077"/>
    <w:rsid w:val="003B09AD"/>
    <w:rsid w:val="003B1F18"/>
    <w:rsid w:val="003B5BF0"/>
    <w:rsid w:val="003B60BF"/>
    <w:rsid w:val="003B6920"/>
    <w:rsid w:val="003B6BE3"/>
    <w:rsid w:val="003C010C"/>
    <w:rsid w:val="003C0A6C"/>
    <w:rsid w:val="003C5A43"/>
    <w:rsid w:val="003D0519"/>
    <w:rsid w:val="003D0FF6"/>
    <w:rsid w:val="003D262C"/>
    <w:rsid w:val="003D303E"/>
    <w:rsid w:val="003D6D61"/>
    <w:rsid w:val="003E091D"/>
    <w:rsid w:val="003E1C53"/>
    <w:rsid w:val="003E2A69"/>
    <w:rsid w:val="003E2D49"/>
    <w:rsid w:val="003E2FD4"/>
    <w:rsid w:val="003E49F6"/>
    <w:rsid w:val="003F0841"/>
    <w:rsid w:val="003F23D3"/>
    <w:rsid w:val="003F3F08"/>
    <w:rsid w:val="003F49F1"/>
    <w:rsid w:val="003F53B1"/>
    <w:rsid w:val="003F6272"/>
    <w:rsid w:val="00400E72"/>
    <w:rsid w:val="00401400"/>
    <w:rsid w:val="00404869"/>
    <w:rsid w:val="0040586D"/>
    <w:rsid w:val="00405884"/>
    <w:rsid w:val="00407D39"/>
    <w:rsid w:val="0041477A"/>
    <w:rsid w:val="004167A3"/>
    <w:rsid w:val="00432DAA"/>
    <w:rsid w:val="00434305"/>
    <w:rsid w:val="004347D3"/>
    <w:rsid w:val="00435DF7"/>
    <w:rsid w:val="0044083F"/>
    <w:rsid w:val="00441AE7"/>
    <w:rsid w:val="00445574"/>
    <w:rsid w:val="004467FB"/>
    <w:rsid w:val="00452D6B"/>
    <w:rsid w:val="00454484"/>
    <w:rsid w:val="0045517B"/>
    <w:rsid w:val="00463B77"/>
    <w:rsid w:val="00463C7B"/>
    <w:rsid w:val="004644A6"/>
    <w:rsid w:val="004659BD"/>
    <w:rsid w:val="00470775"/>
    <w:rsid w:val="004729FF"/>
    <w:rsid w:val="004746B1"/>
    <w:rsid w:val="0047583F"/>
    <w:rsid w:val="00484936"/>
    <w:rsid w:val="00485C89"/>
    <w:rsid w:val="00486BE3"/>
    <w:rsid w:val="004905E4"/>
    <w:rsid w:val="00490A89"/>
    <w:rsid w:val="00490AB4"/>
    <w:rsid w:val="00492F02"/>
    <w:rsid w:val="004939AE"/>
    <w:rsid w:val="004A12DF"/>
    <w:rsid w:val="004A1BA8"/>
    <w:rsid w:val="004A4B57"/>
    <w:rsid w:val="004A63FA"/>
    <w:rsid w:val="004B05EC"/>
    <w:rsid w:val="004B18C1"/>
    <w:rsid w:val="004B2701"/>
    <w:rsid w:val="004B2E1B"/>
    <w:rsid w:val="004B3E93"/>
    <w:rsid w:val="004C1FBC"/>
    <w:rsid w:val="004C2D60"/>
    <w:rsid w:val="004C3F1D"/>
    <w:rsid w:val="004C458D"/>
    <w:rsid w:val="004C54B5"/>
    <w:rsid w:val="004C7556"/>
    <w:rsid w:val="004C7E9D"/>
    <w:rsid w:val="004C7F67"/>
    <w:rsid w:val="004D076D"/>
    <w:rsid w:val="004D0EF1"/>
    <w:rsid w:val="004D2253"/>
    <w:rsid w:val="004D309E"/>
    <w:rsid w:val="004D4406"/>
    <w:rsid w:val="004D4750"/>
    <w:rsid w:val="004D7C42"/>
    <w:rsid w:val="004E0465"/>
    <w:rsid w:val="004E127B"/>
    <w:rsid w:val="004E1C0A"/>
    <w:rsid w:val="004E30C5"/>
    <w:rsid w:val="004E3E27"/>
    <w:rsid w:val="004E4AA5"/>
    <w:rsid w:val="004E4AEE"/>
    <w:rsid w:val="004E4D96"/>
    <w:rsid w:val="004E59E3"/>
    <w:rsid w:val="004E67C0"/>
    <w:rsid w:val="004F391A"/>
    <w:rsid w:val="004F3CFB"/>
    <w:rsid w:val="004F6456"/>
    <w:rsid w:val="004F696E"/>
    <w:rsid w:val="004F6C71"/>
    <w:rsid w:val="00501139"/>
    <w:rsid w:val="0050363E"/>
    <w:rsid w:val="005039BC"/>
    <w:rsid w:val="0050401E"/>
    <w:rsid w:val="005043BB"/>
    <w:rsid w:val="00504A3D"/>
    <w:rsid w:val="00505767"/>
    <w:rsid w:val="005073F0"/>
    <w:rsid w:val="00510A7B"/>
    <w:rsid w:val="00512F6E"/>
    <w:rsid w:val="00513038"/>
    <w:rsid w:val="00514174"/>
    <w:rsid w:val="00514DF9"/>
    <w:rsid w:val="00516088"/>
    <w:rsid w:val="00516B0B"/>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454E"/>
    <w:rsid w:val="00555044"/>
    <w:rsid w:val="00555330"/>
    <w:rsid w:val="00561475"/>
    <w:rsid w:val="00563EDD"/>
    <w:rsid w:val="0056487B"/>
    <w:rsid w:val="00564FB9"/>
    <w:rsid w:val="00573087"/>
    <w:rsid w:val="00573D9E"/>
    <w:rsid w:val="00574484"/>
    <w:rsid w:val="005801E3"/>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140A"/>
    <w:rsid w:val="005B4903"/>
    <w:rsid w:val="005B51CE"/>
    <w:rsid w:val="005B5885"/>
    <w:rsid w:val="005B5CD7"/>
    <w:rsid w:val="005B5EA0"/>
    <w:rsid w:val="005B6CF6"/>
    <w:rsid w:val="005B723F"/>
    <w:rsid w:val="005B7422"/>
    <w:rsid w:val="005C29B8"/>
    <w:rsid w:val="005C5F21"/>
    <w:rsid w:val="005C7156"/>
    <w:rsid w:val="005D07C3"/>
    <w:rsid w:val="005D0C75"/>
    <w:rsid w:val="005D2F61"/>
    <w:rsid w:val="005D3227"/>
    <w:rsid w:val="005D4171"/>
    <w:rsid w:val="005D6A95"/>
    <w:rsid w:val="005D6B2C"/>
    <w:rsid w:val="005D6D9C"/>
    <w:rsid w:val="005E1140"/>
    <w:rsid w:val="005E2335"/>
    <w:rsid w:val="005E34CA"/>
    <w:rsid w:val="005E3C18"/>
    <w:rsid w:val="005E6179"/>
    <w:rsid w:val="005E7881"/>
    <w:rsid w:val="005E78E0"/>
    <w:rsid w:val="005F0D9C"/>
    <w:rsid w:val="005F284E"/>
    <w:rsid w:val="006002B2"/>
    <w:rsid w:val="006015CE"/>
    <w:rsid w:val="00604784"/>
    <w:rsid w:val="00606419"/>
    <w:rsid w:val="00607D29"/>
    <w:rsid w:val="006107F8"/>
    <w:rsid w:val="00612952"/>
    <w:rsid w:val="00614CC1"/>
    <w:rsid w:val="00615A9D"/>
    <w:rsid w:val="006162BE"/>
    <w:rsid w:val="00616BBB"/>
    <w:rsid w:val="00617387"/>
    <w:rsid w:val="006252D8"/>
    <w:rsid w:val="006259BC"/>
    <w:rsid w:val="0062636B"/>
    <w:rsid w:val="00626922"/>
    <w:rsid w:val="00632182"/>
    <w:rsid w:val="00632AE0"/>
    <w:rsid w:val="00633C17"/>
    <w:rsid w:val="00636E3E"/>
    <w:rsid w:val="006379F7"/>
    <w:rsid w:val="00637E4D"/>
    <w:rsid w:val="00640620"/>
    <w:rsid w:val="00641A1F"/>
    <w:rsid w:val="00643C58"/>
    <w:rsid w:val="00645904"/>
    <w:rsid w:val="00647715"/>
    <w:rsid w:val="00647BF2"/>
    <w:rsid w:val="00651ACB"/>
    <w:rsid w:val="00651C47"/>
    <w:rsid w:val="00651F12"/>
    <w:rsid w:val="00652AB2"/>
    <w:rsid w:val="00654EC0"/>
    <w:rsid w:val="0065525B"/>
    <w:rsid w:val="00655D4F"/>
    <w:rsid w:val="006640E5"/>
    <w:rsid w:val="006646F1"/>
    <w:rsid w:val="00664929"/>
    <w:rsid w:val="00664A81"/>
    <w:rsid w:val="00664F62"/>
    <w:rsid w:val="006655E1"/>
    <w:rsid w:val="00672060"/>
    <w:rsid w:val="00672BFD"/>
    <w:rsid w:val="006770F4"/>
    <w:rsid w:val="00677A84"/>
    <w:rsid w:val="0068026D"/>
    <w:rsid w:val="00680A27"/>
    <w:rsid w:val="006816A4"/>
    <w:rsid w:val="006819B8"/>
    <w:rsid w:val="0068327A"/>
    <w:rsid w:val="006840A6"/>
    <w:rsid w:val="006850CD"/>
    <w:rsid w:val="00685AAB"/>
    <w:rsid w:val="006908A4"/>
    <w:rsid w:val="00695263"/>
    <w:rsid w:val="00695AEA"/>
    <w:rsid w:val="006A07AA"/>
    <w:rsid w:val="006A25E5"/>
    <w:rsid w:val="006A2B46"/>
    <w:rsid w:val="006A336D"/>
    <w:rsid w:val="006A37B9"/>
    <w:rsid w:val="006B0F78"/>
    <w:rsid w:val="006B1179"/>
    <w:rsid w:val="006B2455"/>
    <w:rsid w:val="006B2672"/>
    <w:rsid w:val="006B54BF"/>
    <w:rsid w:val="006B5F44"/>
    <w:rsid w:val="006B5F90"/>
    <w:rsid w:val="006B62E4"/>
    <w:rsid w:val="006C1BBA"/>
    <w:rsid w:val="006C2079"/>
    <w:rsid w:val="006C2C29"/>
    <w:rsid w:val="006C5A62"/>
    <w:rsid w:val="006C5D68"/>
    <w:rsid w:val="006C6976"/>
    <w:rsid w:val="006C6DD0"/>
    <w:rsid w:val="006D0004"/>
    <w:rsid w:val="006D04EA"/>
    <w:rsid w:val="006D16C4"/>
    <w:rsid w:val="006D3E96"/>
    <w:rsid w:val="006D4515"/>
    <w:rsid w:val="006D4BB1"/>
    <w:rsid w:val="006D5A1D"/>
    <w:rsid w:val="006D6593"/>
    <w:rsid w:val="006E0073"/>
    <w:rsid w:val="006E6232"/>
    <w:rsid w:val="006F03A8"/>
    <w:rsid w:val="006F2ACA"/>
    <w:rsid w:val="006F2ADC"/>
    <w:rsid w:val="006F2BFE"/>
    <w:rsid w:val="006F31E9"/>
    <w:rsid w:val="006F6284"/>
    <w:rsid w:val="007002C5"/>
    <w:rsid w:val="00700CB0"/>
    <w:rsid w:val="00704387"/>
    <w:rsid w:val="00705A5B"/>
    <w:rsid w:val="00707669"/>
    <w:rsid w:val="00711CBA"/>
    <w:rsid w:val="00711FB5"/>
    <w:rsid w:val="00712A01"/>
    <w:rsid w:val="00714F58"/>
    <w:rsid w:val="00722FBF"/>
    <w:rsid w:val="00722FC2"/>
    <w:rsid w:val="00725949"/>
    <w:rsid w:val="00727FA2"/>
    <w:rsid w:val="007305D3"/>
    <w:rsid w:val="007322D9"/>
    <w:rsid w:val="00732BC0"/>
    <w:rsid w:val="0073419B"/>
    <w:rsid w:val="0073720F"/>
    <w:rsid w:val="0073751E"/>
    <w:rsid w:val="00737796"/>
    <w:rsid w:val="0074165C"/>
    <w:rsid w:val="007432CA"/>
    <w:rsid w:val="007439EB"/>
    <w:rsid w:val="00743CB4"/>
    <w:rsid w:val="00743F0A"/>
    <w:rsid w:val="007444E8"/>
    <w:rsid w:val="0074548E"/>
    <w:rsid w:val="00745773"/>
    <w:rsid w:val="00746800"/>
    <w:rsid w:val="007501A8"/>
    <w:rsid w:val="00750EE1"/>
    <w:rsid w:val="00752438"/>
    <w:rsid w:val="00752B4D"/>
    <w:rsid w:val="00755402"/>
    <w:rsid w:val="00756B26"/>
    <w:rsid w:val="00756EDF"/>
    <w:rsid w:val="007609A2"/>
    <w:rsid w:val="00765C43"/>
    <w:rsid w:val="00765EFB"/>
    <w:rsid w:val="007671CA"/>
    <w:rsid w:val="00767C61"/>
    <w:rsid w:val="0077008A"/>
    <w:rsid w:val="00770690"/>
    <w:rsid w:val="00773C1F"/>
    <w:rsid w:val="00774DA4"/>
    <w:rsid w:val="00775012"/>
    <w:rsid w:val="0077608C"/>
    <w:rsid w:val="00776599"/>
    <w:rsid w:val="00776908"/>
    <w:rsid w:val="0078114B"/>
    <w:rsid w:val="00781DD2"/>
    <w:rsid w:val="00783ECF"/>
    <w:rsid w:val="0078413A"/>
    <w:rsid w:val="00790CA3"/>
    <w:rsid w:val="0079226E"/>
    <w:rsid w:val="00793B23"/>
    <w:rsid w:val="007959E8"/>
    <w:rsid w:val="00795E9C"/>
    <w:rsid w:val="007A0521"/>
    <w:rsid w:val="007A061E"/>
    <w:rsid w:val="007A2E12"/>
    <w:rsid w:val="007A3475"/>
    <w:rsid w:val="007A41C8"/>
    <w:rsid w:val="007A54CE"/>
    <w:rsid w:val="007A7FFA"/>
    <w:rsid w:val="007B04EB"/>
    <w:rsid w:val="007B0D4F"/>
    <w:rsid w:val="007B5A3D"/>
    <w:rsid w:val="007B5B95"/>
    <w:rsid w:val="007B68EA"/>
    <w:rsid w:val="007C19E8"/>
    <w:rsid w:val="007C2D89"/>
    <w:rsid w:val="007C4593"/>
    <w:rsid w:val="007C5309"/>
    <w:rsid w:val="007C6069"/>
    <w:rsid w:val="007D06C4"/>
    <w:rsid w:val="007D1352"/>
    <w:rsid w:val="007D2282"/>
    <w:rsid w:val="007D2508"/>
    <w:rsid w:val="007D346A"/>
    <w:rsid w:val="007D63FE"/>
    <w:rsid w:val="007D6518"/>
    <w:rsid w:val="007D76BD"/>
    <w:rsid w:val="007D7F0C"/>
    <w:rsid w:val="007E0BF1"/>
    <w:rsid w:val="007E7CAB"/>
    <w:rsid w:val="007F0ED8"/>
    <w:rsid w:val="007F0F63"/>
    <w:rsid w:val="007F75CE"/>
    <w:rsid w:val="008013A4"/>
    <w:rsid w:val="008027CE"/>
    <w:rsid w:val="00802F42"/>
    <w:rsid w:val="00804383"/>
    <w:rsid w:val="00804BB7"/>
    <w:rsid w:val="00810257"/>
    <w:rsid w:val="008104F5"/>
    <w:rsid w:val="00811072"/>
    <w:rsid w:val="00811369"/>
    <w:rsid w:val="00814E50"/>
    <w:rsid w:val="00815419"/>
    <w:rsid w:val="00815FC1"/>
    <w:rsid w:val="008163C8"/>
    <w:rsid w:val="00817325"/>
    <w:rsid w:val="008209E6"/>
    <w:rsid w:val="00823303"/>
    <w:rsid w:val="008233B2"/>
    <w:rsid w:val="00823A9F"/>
    <w:rsid w:val="00823C85"/>
    <w:rsid w:val="00825138"/>
    <w:rsid w:val="008269DD"/>
    <w:rsid w:val="00827561"/>
    <w:rsid w:val="00830621"/>
    <w:rsid w:val="00832753"/>
    <w:rsid w:val="00833125"/>
    <w:rsid w:val="0083348C"/>
    <w:rsid w:val="00837223"/>
    <w:rsid w:val="008373D3"/>
    <w:rsid w:val="0084027B"/>
    <w:rsid w:val="00840617"/>
    <w:rsid w:val="00842A47"/>
    <w:rsid w:val="00843C13"/>
    <w:rsid w:val="008454F8"/>
    <w:rsid w:val="00851342"/>
    <w:rsid w:val="0085173A"/>
    <w:rsid w:val="008603CE"/>
    <w:rsid w:val="008620FC"/>
    <w:rsid w:val="00862185"/>
    <w:rsid w:val="008627A5"/>
    <w:rsid w:val="00863E05"/>
    <w:rsid w:val="00864C49"/>
    <w:rsid w:val="00865ACA"/>
    <w:rsid w:val="00865D28"/>
    <w:rsid w:val="00865F85"/>
    <w:rsid w:val="00867C10"/>
    <w:rsid w:val="00870439"/>
    <w:rsid w:val="00870DA1"/>
    <w:rsid w:val="00872337"/>
    <w:rsid w:val="008735B3"/>
    <w:rsid w:val="00883F93"/>
    <w:rsid w:val="00884DB3"/>
    <w:rsid w:val="00885A9D"/>
    <w:rsid w:val="008864F6"/>
    <w:rsid w:val="0089049D"/>
    <w:rsid w:val="008928C9"/>
    <w:rsid w:val="008938DC"/>
    <w:rsid w:val="00893FD1"/>
    <w:rsid w:val="00894836"/>
    <w:rsid w:val="00895172"/>
    <w:rsid w:val="00895680"/>
    <w:rsid w:val="00895FAA"/>
    <w:rsid w:val="00896DFF"/>
    <w:rsid w:val="0089762C"/>
    <w:rsid w:val="008A1893"/>
    <w:rsid w:val="008A769A"/>
    <w:rsid w:val="008B0C9C"/>
    <w:rsid w:val="008B166D"/>
    <w:rsid w:val="008B17F4"/>
    <w:rsid w:val="008B3615"/>
    <w:rsid w:val="008B4983"/>
    <w:rsid w:val="008B4AC4"/>
    <w:rsid w:val="008B50C8"/>
    <w:rsid w:val="008B5281"/>
    <w:rsid w:val="008B7E05"/>
    <w:rsid w:val="008C1797"/>
    <w:rsid w:val="008C219C"/>
    <w:rsid w:val="008C437A"/>
    <w:rsid w:val="008C475E"/>
    <w:rsid w:val="008C49AE"/>
    <w:rsid w:val="008C619A"/>
    <w:rsid w:val="008D0CE8"/>
    <w:rsid w:val="008D2D1D"/>
    <w:rsid w:val="008D453D"/>
    <w:rsid w:val="008D53AD"/>
    <w:rsid w:val="008D562B"/>
    <w:rsid w:val="008D5733"/>
    <w:rsid w:val="008D5E6A"/>
    <w:rsid w:val="008D622B"/>
    <w:rsid w:val="008D666C"/>
    <w:rsid w:val="008D7B54"/>
    <w:rsid w:val="008E0027"/>
    <w:rsid w:val="008E0C9D"/>
    <w:rsid w:val="008E1648"/>
    <w:rsid w:val="008E1B3E"/>
    <w:rsid w:val="008E2319"/>
    <w:rsid w:val="008E4BB6"/>
    <w:rsid w:val="008E5518"/>
    <w:rsid w:val="008E69C4"/>
    <w:rsid w:val="008E6A84"/>
    <w:rsid w:val="008E710F"/>
    <w:rsid w:val="008F0139"/>
    <w:rsid w:val="008F0CDC"/>
    <w:rsid w:val="008F17A3"/>
    <w:rsid w:val="008F1ED3"/>
    <w:rsid w:val="008F4C29"/>
    <w:rsid w:val="008F585C"/>
    <w:rsid w:val="008F70BD"/>
    <w:rsid w:val="008F788F"/>
    <w:rsid w:val="008F7EA2"/>
    <w:rsid w:val="00902722"/>
    <w:rsid w:val="009027BC"/>
    <w:rsid w:val="009062E6"/>
    <w:rsid w:val="00911BE5"/>
    <w:rsid w:val="00913CA9"/>
    <w:rsid w:val="009145AE"/>
    <w:rsid w:val="009146CE"/>
    <w:rsid w:val="00914CA7"/>
    <w:rsid w:val="00915C3E"/>
    <w:rsid w:val="009161A8"/>
    <w:rsid w:val="0091673D"/>
    <w:rsid w:val="00921A02"/>
    <w:rsid w:val="009245F5"/>
    <w:rsid w:val="009249EC"/>
    <w:rsid w:val="00925777"/>
    <w:rsid w:val="009273B3"/>
    <w:rsid w:val="009305B5"/>
    <w:rsid w:val="00934C12"/>
    <w:rsid w:val="0093587F"/>
    <w:rsid w:val="009429D5"/>
    <w:rsid w:val="00942BF1"/>
    <w:rsid w:val="00945180"/>
    <w:rsid w:val="00945428"/>
    <w:rsid w:val="0094607B"/>
    <w:rsid w:val="00952C52"/>
    <w:rsid w:val="00953604"/>
    <w:rsid w:val="009610DC"/>
    <w:rsid w:val="00961490"/>
    <w:rsid w:val="0096381A"/>
    <w:rsid w:val="00965E04"/>
    <w:rsid w:val="009674AD"/>
    <w:rsid w:val="0097094E"/>
    <w:rsid w:val="00970CDC"/>
    <w:rsid w:val="00977010"/>
    <w:rsid w:val="00977D02"/>
    <w:rsid w:val="009809BB"/>
    <w:rsid w:val="00982D22"/>
    <w:rsid w:val="0098364B"/>
    <w:rsid w:val="00983BF9"/>
    <w:rsid w:val="009911AF"/>
    <w:rsid w:val="00991875"/>
    <w:rsid w:val="00991F92"/>
    <w:rsid w:val="00992985"/>
    <w:rsid w:val="00993889"/>
    <w:rsid w:val="0099551B"/>
    <w:rsid w:val="00997BF1"/>
    <w:rsid w:val="009A089C"/>
    <w:rsid w:val="009A0BB8"/>
    <w:rsid w:val="009A118E"/>
    <w:rsid w:val="009A21CD"/>
    <w:rsid w:val="009A278C"/>
    <w:rsid w:val="009A2BC2"/>
    <w:rsid w:val="009A3EEC"/>
    <w:rsid w:val="009A42C1"/>
    <w:rsid w:val="009A5429"/>
    <w:rsid w:val="009A72AD"/>
    <w:rsid w:val="009B09E0"/>
    <w:rsid w:val="009B0BC5"/>
    <w:rsid w:val="009B1247"/>
    <w:rsid w:val="009B6029"/>
    <w:rsid w:val="009B632B"/>
    <w:rsid w:val="009B6971"/>
    <w:rsid w:val="009C1DC9"/>
    <w:rsid w:val="009C27F1"/>
    <w:rsid w:val="009C3152"/>
    <w:rsid w:val="009C4CFA"/>
    <w:rsid w:val="009C5070"/>
    <w:rsid w:val="009C7369"/>
    <w:rsid w:val="009D00D9"/>
    <w:rsid w:val="009D112C"/>
    <w:rsid w:val="009D37B3"/>
    <w:rsid w:val="009D3E5B"/>
    <w:rsid w:val="009D47FA"/>
    <w:rsid w:val="009D50D2"/>
    <w:rsid w:val="009D6BCA"/>
    <w:rsid w:val="009E0F62"/>
    <w:rsid w:val="009E4A58"/>
    <w:rsid w:val="009E5A2D"/>
    <w:rsid w:val="009E5AB2"/>
    <w:rsid w:val="009E6219"/>
    <w:rsid w:val="009E71C6"/>
    <w:rsid w:val="009E7263"/>
    <w:rsid w:val="009F03B3"/>
    <w:rsid w:val="009F2C37"/>
    <w:rsid w:val="00A01757"/>
    <w:rsid w:val="00A028C0"/>
    <w:rsid w:val="00A02BAE"/>
    <w:rsid w:val="00A0696F"/>
    <w:rsid w:val="00A06A6B"/>
    <w:rsid w:val="00A07E47"/>
    <w:rsid w:val="00A129D0"/>
    <w:rsid w:val="00A12C33"/>
    <w:rsid w:val="00A138BA"/>
    <w:rsid w:val="00A14C8E"/>
    <w:rsid w:val="00A153D9"/>
    <w:rsid w:val="00A15F09"/>
    <w:rsid w:val="00A169B6"/>
    <w:rsid w:val="00A16CA3"/>
    <w:rsid w:val="00A2271D"/>
    <w:rsid w:val="00A236E5"/>
    <w:rsid w:val="00A237D5"/>
    <w:rsid w:val="00A24F7B"/>
    <w:rsid w:val="00A30EFC"/>
    <w:rsid w:val="00A31984"/>
    <w:rsid w:val="00A32D73"/>
    <w:rsid w:val="00A32ECE"/>
    <w:rsid w:val="00A3367B"/>
    <w:rsid w:val="00A3597D"/>
    <w:rsid w:val="00A364FD"/>
    <w:rsid w:val="00A40091"/>
    <w:rsid w:val="00A4030F"/>
    <w:rsid w:val="00A40C7D"/>
    <w:rsid w:val="00A41C79"/>
    <w:rsid w:val="00A41CB5"/>
    <w:rsid w:val="00A42CDF"/>
    <w:rsid w:val="00A4452E"/>
    <w:rsid w:val="00A4472C"/>
    <w:rsid w:val="00A44E69"/>
    <w:rsid w:val="00A4661E"/>
    <w:rsid w:val="00A531E8"/>
    <w:rsid w:val="00A55BD6"/>
    <w:rsid w:val="00A55D50"/>
    <w:rsid w:val="00A57142"/>
    <w:rsid w:val="00A575AE"/>
    <w:rsid w:val="00A6458F"/>
    <w:rsid w:val="00A648CD"/>
    <w:rsid w:val="00A6537A"/>
    <w:rsid w:val="00A656D0"/>
    <w:rsid w:val="00A65978"/>
    <w:rsid w:val="00A66B76"/>
    <w:rsid w:val="00A67866"/>
    <w:rsid w:val="00A70B07"/>
    <w:rsid w:val="00A723F8"/>
    <w:rsid w:val="00A77CCB"/>
    <w:rsid w:val="00A80BD6"/>
    <w:rsid w:val="00A83D8D"/>
    <w:rsid w:val="00A8446B"/>
    <w:rsid w:val="00A8473F"/>
    <w:rsid w:val="00A862D6"/>
    <w:rsid w:val="00A8715E"/>
    <w:rsid w:val="00A9295B"/>
    <w:rsid w:val="00A93B09"/>
    <w:rsid w:val="00A952D7"/>
    <w:rsid w:val="00A95595"/>
    <w:rsid w:val="00A963F7"/>
    <w:rsid w:val="00A96AB8"/>
    <w:rsid w:val="00A96AD8"/>
    <w:rsid w:val="00AA052C"/>
    <w:rsid w:val="00AA1E45"/>
    <w:rsid w:val="00AA2A24"/>
    <w:rsid w:val="00AA4286"/>
    <w:rsid w:val="00AA456B"/>
    <w:rsid w:val="00AA57F5"/>
    <w:rsid w:val="00AA5846"/>
    <w:rsid w:val="00AA672E"/>
    <w:rsid w:val="00AA6EC9"/>
    <w:rsid w:val="00AB6309"/>
    <w:rsid w:val="00AB6C5F"/>
    <w:rsid w:val="00AB7129"/>
    <w:rsid w:val="00AB7E59"/>
    <w:rsid w:val="00AB7EA3"/>
    <w:rsid w:val="00AC27A6"/>
    <w:rsid w:val="00AC30F7"/>
    <w:rsid w:val="00AC3A5A"/>
    <w:rsid w:val="00AC4D95"/>
    <w:rsid w:val="00AC5987"/>
    <w:rsid w:val="00AC5DF4"/>
    <w:rsid w:val="00AD0AEF"/>
    <w:rsid w:val="00AD11B7"/>
    <w:rsid w:val="00AD1A94"/>
    <w:rsid w:val="00AD1C05"/>
    <w:rsid w:val="00AD2278"/>
    <w:rsid w:val="00AD3367"/>
    <w:rsid w:val="00AD4126"/>
    <w:rsid w:val="00AD421C"/>
    <w:rsid w:val="00AD44FA"/>
    <w:rsid w:val="00AD5145"/>
    <w:rsid w:val="00AE070A"/>
    <w:rsid w:val="00AE101C"/>
    <w:rsid w:val="00AE27CE"/>
    <w:rsid w:val="00AE7770"/>
    <w:rsid w:val="00AF0C18"/>
    <w:rsid w:val="00AF47C5"/>
    <w:rsid w:val="00AF4974"/>
    <w:rsid w:val="00AF5398"/>
    <w:rsid w:val="00B01049"/>
    <w:rsid w:val="00B049AF"/>
    <w:rsid w:val="00B07242"/>
    <w:rsid w:val="00B10534"/>
    <w:rsid w:val="00B113DB"/>
    <w:rsid w:val="00B11D8A"/>
    <w:rsid w:val="00B12981"/>
    <w:rsid w:val="00B147DD"/>
    <w:rsid w:val="00B156FD"/>
    <w:rsid w:val="00B21F61"/>
    <w:rsid w:val="00B23045"/>
    <w:rsid w:val="00B261F1"/>
    <w:rsid w:val="00B265BC"/>
    <w:rsid w:val="00B313A3"/>
    <w:rsid w:val="00B31FB1"/>
    <w:rsid w:val="00B32D99"/>
    <w:rsid w:val="00B33952"/>
    <w:rsid w:val="00B33BFF"/>
    <w:rsid w:val="00B33C5E"/>
    <w:rsid w:val="00B342F4"/>
    <w:rsid w:val="00B34369"/>
    <w:rsid w:val="00B34DC2"/>
    <w:rsid w:val="00B378E5"/>
    <w:rsid w:val="00B4222F"/>
    <w:rsid w:val="00B4346D"/>
    <w:rsid w:val="00B440F4"/>
    <w:rsid w:val="00B447A5"/>
    <w:rsid w:val="00B4654C"/>
    <w:rsid w:val="00B47293"/>
    <w:rsid w:val="00B52120"/>
    <w:rsid w:val="00B54ABC"/>
    <w:rsid w:val="00B56FBE"/>
    <w:rsid w:val="00B62B58"/>
    <w:rsid w:val="00B65149"/>
    <w:rsid w:val="00B66567"/>
    <w:rsid w:val="00B66F52"/>
    <w:rsid w:val="00B66FE5"/>
    <w:rsid w:val="00B675B7"/>
    <w:rsid w:val="00B72880"/>
    <w:rsid w:val="00B758BF"/>
    <w:rsid w:val="00B827A6"/>
    <w:rsid w:val="00B831CE"/>
    <w:rsid w:val="00B86677"/>
    <w:rsid w:val="00B87131"/>
    <w:rsid w:val="00B9127B"/>
    <w:rsid w:val="00B91566"/>
    <w:rsid w:val="00B9320C"/>
    <w:rsid w:val="00B932A3"/>
    <w:rsid w:val="00B939B1"/>
    <w:rsid w:val="00B96D40"/>
    <w:rsid w:val="00B97386"/>
    <w:rsid w:val="00B9792B"/>
    <w:rsid w:val="00BA263B"/>
    <w:rsid w:val="00BA42B2"/>
    <w:rsid w:val="00BA58D4"/>
    <w:rsid w:val="00BA5B9E"/>
    <w:rsid w:val="00BA7C9A"/>
    <w:rsid w:val="00BB5F8F"/>
    <w:rsid w:val="00BB657A"/>
    <w:rsid w:val="00BB6B08"/>
    <w:rsid w:val="00BC1A4E"/>
    <w:rsid w:val="00BC5DC7"/>
    <w:rsid w:val="00BC6B8B"/>
    <w:rsid w:val="00BC73D8"/>
    <w:rsid w:val="00BD4458"/>
    <w:rsid w:val="00BD52D7"/>
    <w:rsid w:val="00BD5AD2"/>
    <w:rsid w:val="00BD6082"/>
    <w:rsid w:val="00BE22F3"/>
    <w:rsid w:val="00BE394F"/>
    <w:rsid w:val="00BE49EE"/>
    <w:rsid w:val="00BE4E9E"/>
    <w:rsid w:val="00BE5B52"/>
    <w:rsid w:val="00BE7B8D"/>
    <w:rsid w:val="00BF0993"/>
    <w:rsid w:val="00BF10A9"/>
    <w:rsid w:val="00BF1703"/>
    <w:rsid w:val="00BF1CBD"/>
    <w:rsid w:val="00BF1D94"/>
    <w:rsid w:val="00BF231C"/>
    <w:rsid w:val="00BF51E5"/>
    <w:rsid w:val="00BF74A6"/>
    <w:rsid w:val="00C013AD"/>
    <w:rsid w:val="00C02738"/>
    <w:rsid w:val="00C04904"/>
    <w:rsid w:val="00C0513B"/>
    <w:rsid w:val="00C056B3"/>
    <w:rsid w:val="00C06C54"/>
    <w:rsid w:val="00C103E5"/>
    <w:rsid w:val="00C13319"/>
    <w:rsid w:val="00C13EE9"/>
    <w:rsid w:val="00C14D87"/>
    <w:rsid w:val="00C1555B"/>
    <w:rsid w:val="00C21540"/>
    <w:rsid w:val="00C21906"/>
    <w:rsid w:val="00C21BFA"/>
    <w:rsid w:val="00C24C8D"/>
    <w:rsid w:val="00C25FE2"/>
    <w:rsid w:val="00C26B53"/>
    <w:rsid w:val="00C279B2"/>
    <w:rsid w:val="00C30DC8"/>
    <w:rsid w:val="00C33E50"/>
    <w:rsid w:val="00C34C20"/>
    <w:rsid w:val="00C35A3E"/>
    <w:rsid w:val="00C37611"/>
    <w:rsid w:val="00C42130"/>
    <w:rsid w:val="00C423A4"/>
    <w:rsid w:val="00C428CC"/>
    <w:rsid w:val="00C44BF5"/>
    <w:rsid w:val="00C55232"/>
    <w:rsid w:val="00C553A4"/>
    <w:rsid w:val="00C55A06"/>
    <w:rsid w:val="00C55D03"/>
    <w:rsid w:val="00C57BCD"/>
    <w:rsid w:val="00C601BC"/>
    <w:rsid w:val="00C6329F"/>
    <w:rsid w:val="00C63340"/>
    <w:rsid w:val="00C643F9"/>
    <w:rsid w:val="00C64E95"/>
    <w:rsid w:val="00C655FD"/>
    <w:rsid w:val="00C71372"/>
    <w:rsid w:val="00C72410"/>
    <w:rsid w:val="00C7287F"/>
    <w:rsid w:val="00C72F0E"/>
    <w:rsid w:val="00C76726"/>
    <w:rsid w:val="00C80CB8"/>
    <w:rsid w:val="00C819F8"/>
    <w:rsid w:val="00C8248C"/>
    <w:rsid w:val="00C84E33"/>
    <w:rsid w:val="00C86D6F"/>
    <w:rsid w:val="00C905FC"/>
    <w:rsid w:val="00C92D03"/>
    <w:rsid w:val="00C9319C"/>
    <w:rsid w:val="00C9435D"/>
    <w:rsid w:val="00C9517F"/>
    <w:rsid w:val="00C96741"/>
    <w:rsid w:val="00CA2D1B"/>
    <w:rsid w:val="00CA5A02"/>
    <w:rsid w:val="00CA662A"/>
    <w:rsid w:val="00CA7AFD"/>
    <w:rsid w:val="00CA7C3C"/>
    <w:rsid w:val="00CB0189"/>
    <w:rsid w:val="00CB0BA2"/>
    <w:rsid w:val="00CB1A42"/>
    <w:rsid w:val="00CB1B0C"/>
    <w:rsid w:val="00CB2C0B"/>
    <w:rsid w:val="00CB517D"/>
    <w:rsid w:val="00CC038D"/>
    <w:rsid w:val="00CC18ED"/>
    <w:rsid w:val="00CC39FF"/>
    <w:rsid w:val="00CC3C2F"/>
    <w:rsid w:val="00CC4AC8"/>
    <w:rsid w:val="00CC5233"/>
    <w:rsid w:val="00CC5DE6"/>
    <w:rsid w:val="00CC6E4E"/>
    <w:rsid w:val="00CC6FE8"/>
    <w:rsid w:val="00CC7202"/>
    <w:rsid w:val="00CD2808"/>
    <w:rsid w:val="00CD28BF"/>
    <w:rsid w:val="00CD32E8"/>
    <w:rsid w:val="00CD4092"/>
    <w:rsid w:val="00CD4A20"/>
    <w:rsid w:val="00CD50A1"/>
    <w:rsid w:val="00CD519E"/>
    <w:rsid w:val="00CD732B"/>
    <w:rsid w:val="00CD792C"/>
    <w:rsid w:val="00CE0C4F"/>
    <w:rsid w:val="00CE30EA"/>
    <w:rsid w:val="00CF048A"/>
    <w:rsid w:val="00CF155A"/>
    <w:rsid w:val="00CF2947"/>
    <w:rsid w:val="00CF35C2"/>
    <w:rsid w:val="00CF44B1"/>
    <w:rsid w:val="00CF454E"/>
    <w:rsid w:val="00CF686F"/>
    <w:rsid w:val="00CF6E60"/>
    <w:rsid w:val="00CF6E8B"/>
    <w:rsid w:val="00CF7BCA"/>
    <w:rsid w:val="00D008FD"/>
    <w:rsid w:val="00D0321C"/>
    <w:rsid w:val="00D035EC"/>
    <w:rsid w:val="00D040DA"/>
    <w:rsid w:val="00D05661"/>
    <w:rsid w:val="00D06AB1"/>
    <w:rsid w:val="00D072ED"/>
    <w:rsid w:val="00D07A16"/>
    <w:rsid w:val="00D1067E"/>
    <w:rsid w:val="00D10F50"/>
    <w:rsid w:val="00D11272"/>
    <w:rsid w:val="00D126F5"/>
    <w:rsid w:val="00D1489E"/>
    <w:rsid w:val="00D20737"/>
    <w:rsid w:val="00D21E81"/>
    <w:rsid w:val="00D223DE"/>
    <w:rsid w:val="00D22AD8"/>
    <w:rsid w:val="00D25E37"/>
    <w:rsid w:val="00D2661A"/>
    <w:rsid w:val="00D26EA3"/>
    <w:rsid w:val="00D27582"/>
    <w:rsid w:val="00D32719"/>
    <w:rsid w:val="00D33333"/>
    <w:rsid w:val="00D352A2"/>
    <w:rsid w:val="00D40A83"/>
    <w:rsid w:val="00D40D83"/>
    <w:rsid w:val="00D4162B"/>
    <w:rsid w:val="00D4514F"/>
    <w:rsid w:val="00D451E2"/>
    <w:rsid w:val="00D4545E"/>
    <w:rsid w:val="00D45E89"/>
    <w:rsid w:val="00D45E8D"/>
    <w:rsid w:val="00D4616A"/>
    <w:rsid w:val="00D466AE"/>
    <w:rsid w:val="00D4734F"/>
    <w:rsid w:val="00D51BF3"/>
    <w:rsid w:val="00D55C5E"/>
    <w:rsid w:val="00D63276"/>
    <w:rsid w:val="00D66846"/>
    <w:rsid w:val="00D675FB"/>
    <w:rsid w:val="00D71F25"/>
    <w:rsid w:val="00D7414D"/>
    <w:rsid w:val="00D761A3"/>
    <w:rsid w:val="00D76951"/>
    <w:rsid w:val="00D77031"/>
    <w:rsid w:val="00D84941"/>
    <w:rsid w:val="00D84FA1"/>
    <w:rsid w:val="00D851F0"/>
    <w:rsid w:val="00D86DB7"/>
    <w:rsid w:val="00D926D0"/>
    <w:rsid w:val="00D93030"/>
    <w:rsid w:val="00D950E1"/>
    <w:rsid w:val="00D952A6"/>
    <w:rsid w:val="00D97F99"/>
    <w:rsid w:val="00DA0C72"/>
    <w:rsid w:val="00DA19E7"/>
    <w:rsid w:val="00DA1E08"/>
    <w:rsid w:val="00DA24F5"/>
    <w:rsid w:val="00DA24F8"/>
    <w:rsid w:val="00DA28E8"/>
    <w:rsid w:val="00DA38D3"/>
    <w:rsid w:val="00DA3932"/>
    <w:rsid w:val="00DA64F8"/>
    <w:rsid w:val="00DA6C15"/>
    <w:rsid w:val="00DA7370"/>
    <w:rsid w:val="00DB38EE"/>
    <w:rsid w:val="00DB498B"/>
    <w:rsid w:val="00DB66CA"/>
    <w:rsid w:val="00DB6BCA"/>
    <w:rsid w:val="00DB784F"/>
    <w:rsid w:val="00DC0321"/>
    <w:rsid w:val="00DC2235"/>
    <w:rsid w:val="00DC3067"/>
    <w:rsid w:val="00DC370B"/>
    <w:rsid w:val="00DC5B90"/>
    <w:rsid w:val="00DD00F2"/>
    <w:rsid w:val="00DD00FF"/>
    <w:rsid w:val="00DD0619"/>
    <w:rsid w:val="00DD07FB"/>
    <w:rsid w:val="00DD25C6"/>
    <w:rsid w:val="00DD3BBC"/>
    <w:rsid w:val="00DD54B0"/>
    <w:rsid w:val="00DD57EE"/>
    <w:rsid w:val="00DD6BCC"/>
    <w:rsid w:val="00DE0A4B"/>
    <w:rsid w:val="00DE2410"/>
    <w:rsid w:val="00DE2939"/>
    <w:rsid w:val="00DE40F3"/>
    <w:rsid w:val="00DE51F0"/>
    <w:rsid w:val="00DE6E81"/>
    <w:rsid w:val="00DE703F"/>
    <w:rsid w:val="00DE7595"/>
    <w:rsid w:val="00DF15BE"/>
    <w:rsid w:val="00DF1961"/>
    <w:rsid w:val="00DF352B"/>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40C94"/>
    <w:rsid w:val="00E44A83"/>
    <w:rsid w:val="00E502C1"/>
    <w:rsid w:val="00E502DD"/>
    <w:rsid w:val="00E50D3A"/>
    <w:rsid w:val="00E51387"/>
    <w:rsid w:val="00E51E68"/>
    <w:rsid w:val="00E52EFD"/>
    <w:rsid w:val="00E533EB"/>
    <w:rsid w:val="00E5408A"/>
    <w:rsid w:val="00E56800"/>
    <w:rsid w:val="00E57BE8"/>
    <w:rsid w:val="00E60CD7"/>
    <w:rsid w:val="00E62415"/>
    <w:rsid w:val="00E62FF9"/>
    <w:rsid w:val="00E635D6"/>
    <w:rsid w:val="00E639BC"/>
    <w:rsid w:val="00E664CC"/>
    <w:rsid w:val="00E70388"/>
    <w:rsid w:val="00E70F92"/>
    <w:rsid w:val="00E74C54"/>
    <w:rsid w:val="00E75E49"/>
    <w:rsid w:val="00E7771C"/>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6202"/>
    <w:rsid w:val="00EB74DB"/>
    <w:rsid w:val="00EC2046"/>
    <w:rsid w:val="00EC5359"/>
    <w:rsid w:val="00EC562A"/>
    <w:rsid w:val="00ED067A"/>
    <w:rsid w:val="00ED22E8"/>
    <w:rsid w:val="00ED2B50"/>
    <w:rsid w:val="00EE0350"/>
    <w:rsid w:val="00EE0719"/>
    <w:rsid w:val="00EE0E80"/>
    <w:rsid w:val="00EE613F"/>
    <w:rsid w:val="00EE7295"/>
    <w:rsid w:val="00EE7869"/>
    <w:rsid w:val="00EF054A"/>
    <w:rsid w:val="00EF3235"/>
    <w:rsid w:val="00EF5C1A"/>
    <w:rsid w:val="00EF75D3"/>
    <w:rsid w:val="00EF7E72"/>
    <w:rsid w:val="00F06D37"/>
    <w:rsid w:val="00F07B9D"/>
    <w:rsid w:val="00F11586"/>
    <w:rsid w:val="00F1183B"/>
    <w:rsid w:val="00F11C9F"/>
    <w:rsid w:val="00F12263"/>
    <w:rsid w:val="00F1409D"/>
    <w:rsid w:val="00F14214"/>
    <w:rsid w:val="00F146BD"/>
    <w:rsid w:val="00F157A9"/>
    <w:rsid w:val="00F2012D"/>
    <w:rsid w:val="00F25BB6"/>
    <w:rsid w:val="00F26B7E"/>
    <w:rsid w:val="00F27A3B"/>
    <w:rsid w:val="00F33817"/>
    <w:rsid w:val="00F37365"/>
    <w:rsid w:val="00F37BA0"/>
    <w:rsid w:val="00F420D5"/>
    <w:rsid w:val="00F42FAE"/>
    <w:rsid w:val="00F438F5"/>
    <w:rsid w:val="00F451EA"/>
    <w:rsid w:val="00F45447"/>
    <w:rsid w:val="00F456C6"/>
    <w:rsid w:val="00F4577B"/>
    <w:rsid w:val="00F46496"/>
    <w:rsid w:val="00F474D0"/>
    <w:rsid w:val="00F50179"/>
    <w:rsid w:val="00F56511"/>
    <w:rsid w:val="00F6194E"/>
    <w:rsid w:val="00F623AC"/>
    <w:rsid w:val="00F6412A"/>
    <w:rsid w:val="00F65769"/>
    <w:rsid w:val="00F65893"/>
    <w:rsid w:val="00F66A4A"/>
    <w:rsid w:val="00F71E22"/>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2688"/>
    <w:rsid w:val="00FA662D"/>
    <w:rsid w:val="00FA73B1"/>
    <w:rsid w:val="00FA7B1B"/>
    <w:rsid w:val="00FB0CB9"/>
    <w:rsid w:val="00FB45F1"/>
    <w:rsid w:val="00FB4A72"/>
    <w:rsid w:val="00FB54E8"/>
    <w:rsid w:val="00FB6C88"/>
    <w:rsid w:val="00FB7054"/>
    <w:rsid w:val="00FC17B7"/>
    <w:rsid w:val="00FC2CB7"/>
    <w:rsid w:val="00FC4090"/>
    <w:rsid w:val="00FC55B4"/>
    <w:rsid w:val="00FD00E6"/>
    <w:rsid w:val="00FD09A1"/>
    <w:rsid w:val="00FD2A7C"/>
    <w:rsid w:val="00FD4C49"/>
    <w:rsid w:val="00FD59EB"/>
    <w:rsid w:val="00FD7299"/>
    <w:rsid w:val="00FE1FBE"/>
    <w:rsid w:val="00FE2C0D"/>
    <w:rsid w:val="00FE3901"/>
    <w:rsid w:val="00FE402E"/>
    <w:rsid w:val="00FE4BCE"/>
    <w:rsid w:val="00FE54AE"/>
    <w:rsid w:val="00FE576A"/>
    <w:rsid w:val="00FE61CF"/>
    <w:rsid w:val="00FE7E79"/>
    <w:rsid w:val="00FF31DB"/>
    <w:rsid w:val="00FF3E7D"/>
    <w:rsid w:val="00FF5B99"/>
    <w:rsid w:val="00FF730C"/>
    <w:rsid w:val="00FF73F4"/>
    <w:rsid w:val="00FF7CE4"/>
    <w:rsid w:val="00FF7E39"/>
    <w:rsid w:val="5C615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54"/>
    <w:semiHidden/>
    <w:unhideWhenUsed/>
    <w:qFormat/>
    <w:uiPriority w:val="99"/>
    <w:pPr>
      <w:jc w:val="left"/>
    </w:pPr>
  </w:style>
  <w:style w:type="paragraph" w:styleId="14">
    <w:name w:val="Body Text"/>
    <w:basedOn w:val="1"/>
    <w:link w:val="89"/>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8"/>
    <w:unhideWhenUsed/>
    <w:qFormat/>
    <w:uiPriority w:val="0"/>
    <w:rPr>
      <w:sz w:val="18"/>
      <w:szCs w:val="18"/>
    </w:rPr>
  </w:style>
  <w:style w:type="paragraph" w:styleId="18">
    <w:name w:val="footer"/>
    <w:basedOn w:val="1"/>
    <w:link w:val="47"/>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6"/>
    <w:qFormat/>
    <w:uiPriority w:val="0"/>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2"/>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uiPriority w:val="39"/>
    <w:pPr>
      <w:tabs>
        <w:tab w:val="right" w:leader="dot" w:pos="9344"/>
      </w:tabs>
      <w:spacing w:line="300" w:lineRule="exact"/>
      <w:ind w:left="210"/>
    </w:pPr>
    <w:rPr>
      <w:rFonts w:ascii="宋体"/>
    </w:rPr>
  </w:style>
  <w:style w:type="paragraph" w:styleId="26">
    <w:name w:val="Title"/>
    <w:basedOn w:val="1"/>
    <w:link w:val="51"/>
    <w:qFormat/>
    <w:uiPriority w:val="0"/>
    <w:pPr>
      <w:spacing w:before="240" w:after="60"/>
      <w:jc w:val="center"/>
      <w:outlineLvl w:val="0"/>
    </w:pPr>
    <w:rPr>
      <w:rFonts w:ascii="Arial" w:hAnsi="Arial" w:cs="Arial"/>
      <w:b/>
      <w:bCs/>
      <w:sz w:val="32"/>
      <w:szCs w:val="32"/>
    </w:rPr>
  </w:style>
  <w:style w:type="paragraph" w:styleId="27">
    <w:name w:val="annotation subject"/>
    <w:basedOn w:val="13"/>
    <w:next w:val="13"/>
    <w:link w:val="255"/>
    <w:semiHidden/>
    <w:unhideWhenUsed/>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annotation reference"/>
    <w:basedOn w:val="30"/>
    <w:semiHidden/>
    <w:unhideWhenUsed/>
    <w:uiPriority w:val="99"/>
    <w:rPr>
      <w:sz w:val="21"/>
      <w:szCs w:val="21"/>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Char"/>
    <w:link w:val="2"/>
    <w:qFormat/>
    <w:uiPriority w:val="0"/>
    <w:rPr>
      <w:rFonts w:ascii="Times New Roman" w:hAnsi="Times New Roman" w:eastAsia="宋体" w:cs="Times New Roman"/>
      <w:b/>
      <w:bCs/>
      <w:kern w:val="44"/>
      <w:sz w:val="44"/>
      <w:szCs w:val="44"/>
    </w:rPr>
  </w:style>
  <w:style w:type="character" w:customStyle="1" w:styleId="38">
    <w:name w:val="标题 2 Char"/>
    <w:link w:val="3"/>
    <w:qFormat/>
    <w:uiPriority w:val="0"/>
    <w:rPr>
      <w:rFonts w:ascii="Arial" w:hAnsi="Arial" w:eastAsia="黑体" w:cs="Times New Roman"/>
      <w:b/>
      <w:bCs/>
      <w:sz w:val="32"/>
      <w:szCs w:val="32"/>
    </w:rPr>
  </w:style>
  <w:style w:type="character" w:customStyle="1" w:styleId="39">
    <w:name w:val="标题 3 Char"/>
    <w:link w:val="4"/>
    <w:qFormat/>
    <w:uiPriority w:val="0"/>
    <w:rPr>
      <w:rFonts w:ascii="Times New Roman" w:hAnsi="Times New Roman" w:eastAsia="宋体" w:cs="Times New Roman"/>
      <w:b/>
      <w:bCs/>
      <w:sz w:val="32"/>
      <w:szCs w:val="32"/>
    </w:rPr>
  </w:style>
  <w:style w:type="character" w:customStyle="1" w:styleId="40">
    <w:name w:val="标题 4 Char"/>
    <w:link w:val="5"/>
    <w:uiPriority w:val="0"/>
    <w:rPr>
      <w:rFonts w:ascii="Arial" w:hAnsi="Arial" w:eastAsia="黑体" w:cs="Times New Roman"/>
      <w:b/>
      <w:bCs/>
      <w:sz w:val="28"/>
      <w:szCs w:val="28"/>
    </w:rPr>
  </w:style>
  <w:style w:type="character" w:customStyle="1" w:styleId="41">
    <w:name w:val="标题 5 Char"/>
    <w:link w:val="6"/>
    <w:qFormat/>
    <w:uiPriority w:val="0"/>
    <w:rPr>
      <w:rFonts w:ascii="Times New Roman" w:hAnsi="Times New Roman" w:eastAsia="宋体" w:cs="Times New Roman"/>
      <w:b/>
      <w:bCs/>
      <w:sz w:val="28"/>
      <w:szCs w:val="28"/>
    </w:rPr>
  </w:style>
  <w:style w:type="character" w:customStyle="1" w:styleId="42">
    <w:name w:val="标题 6 Char"/>
    <w:link w:val="7"/>
    <w:uiPriority w:val="0"/>
    <w:rPr>
      <w:rFonts w:ascii="Arial" w:hAnsi="Arial" w:eastAsia="黑体" w:cs="Times New Roman"/>
      <w:b/>
      <w:bCs/>
      <w:sz w:val="24"/>
      <w:szCs w:val="24"/>
    </w:rPr>
  </w:style>
  <w:style w:type="character" w:customStyle="1" w:styleId="43">
    <w:name w:val="标题 7 Char"/>
    <w:link w:val="8"/>
    <w:qFormat/>
    <w:uiPriority w:val="0"/>
    <w:rPr>
      <w:rFonts w:ascii="Times New Roman" w:hAnsi="Times New Roman" w:eastAsia="宋体" w:cs="Times New Roman"/>
      <w:b/>
      <w:bCs/>
      <w:sz w:val="24"/>
      <w:szCs w:val="24"/>
    </w:rPr>
  </w:style>
  <w:style w:type="character" w:customStyle="1" w:styleId="44">
    <w:name w:val="标题 8 Char"/>
    <w:link w:val="9"/>
    <w:uiPriority w:val="0"/>
    <w:rPr>
      <w:rFonts w:ascii="Arial" w:hAnsi="Arial" w:eastAsia="黑体" w:cs="Times New Roman"/>
      <w:sz w:val="24"/>
      <w:szCs w:val="24"/>
    </w:rPr>
  </w:style>
  <w:style w:type="character" w:customStyle="1" w:styleId="45">
    <w:name w:val="标题 9 Char"/>
    <w:link w:val="10"/>
    <w:uiPriority w:val="0"/>
    <w:rPr>
      <w:rFonts w:ascii="Arial" w:hAnsi="Arial" w:eastAsia="黑体" w:cs="Times New Roman"/>
      <w:szCs w:val="21"/>
    </w:rPr>
  </w:style>
  <w:style w:type="character" w:customStyle="1" w:styleId="46">
    <w:name w:val="页眉 Char"/>
    <w:link w:val="19"/>
    <w:uiPriority w:val="99"/>
    <w:rPr>
      <w:rFonts w:ascii="Times New Roman" w:hAnsi="Times New Roman" w:eastAsia="宋体" w:cs="Times New Roman"/>
      <w:sz w:val="18"/>
      <w:szCs w:val="18"/>
    </w:rPr>
  </w:style>
  <w:style w:type="character" w:customStyle="1" w:styleId="47">
    <w:name w:val="页脚 Char"/>
    <w:link w:val="18"/>
    <w:uiPriority w:val="99"/>
    <w:rPr>
      <w:rFonts w:ascii="宋体" w:hAnsi="Times New Roman" w:eastAsia="宋体" w:cs="Times New Roman"/>
      <w:sz w:val="18"/>
      <w:szCs w:val="18"/>
    </w:rPr>
  </w:style>
  <w:style w:type="character" w:customStyle="1" w:styleId="48">
    <w:name w:val="批注框文本 Char"/>
    <w:link w:val="17"/>
    <w:qFormat/>
    <w:uiPriority w:val="0"/>
    <w:rPr>
      <w:sz w:val="18"/>
      <w:szCs w:val="18"/>
    </w:rPr>
  </w:style>
  <w:style w:type="paragraph" w:styleId="49">
    <w:name w:val="Quote"/>
    <w:basedOn w:val="1"/>
    <w:next w:val="1"/>
    <w:link w:val="50"/>
    <w:qFormat/>
    <w:uiPriority w:val="29"/>
    <w:rPr>
      <w:i/>
      <w:iCs/>
      <w:color w:val="000000"/>
    </w:rPr>
  </w:style>
  <w:style w:type="character" w:customStyle="1" w:styleId="50">
    <w:name w:val="引用 Char"/>
    <w:link w:val="49"/>
    <w:qFormat/>
    <w:uiPriority w:val="29"/>
    <w:rPr>
      <w:i/>
      <w:iCs/>
      <w:color w:val="000000"/>
    </w:rPr>
  </w:style>
  <w:style w:type="character" w:customStyle="1" w:styleId="51">
    <w:name w:val="标题 Char"/>
    <w:link w:val="26"/>
    <w:qFormat/>
    <w:uiPriority w:val="0"/>
    <w:rPr>
      <w:rFonts w:ascii="Arial" w:hAnsi="Arial" w:eastAsia="宋体" w:cs="Arial"/>
      <w:b/>
      <w:bCs/>
      <w:sz w:val="32"/>
      <w:szCs w:val="32"/>
    </w:rPr>
  </w:style>
  <w:style w:type="paragraph" w:customStyle="1" w:styleId="52">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uiPriority w:val="0"/>
    <w:pPr>
      <w:ind w:right="227"/>
      <w:jc w:val="right"/>
    </w:pPr>
    <w:rPr>
      <w:rFonts w:ascii="宋体" w:hAnsi="Times New Roman" w:eastAsia="宋体" w:cs="Times New Roman"/>
      <w:sz w:val="18"/>
      <w:lang w:val="en-US" w:eastAsia="zh-CN" w:bidi="ar-SA"/>
    </w:rPr>
  </w:style>
  <w:style w:type="paragraph" w:customStyle="1" w:styleId="56">
    <w:name w:val="标准书眉一"/>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uiPriority w:val="0"/>
    <w:pPr>
      <w:snapToGrid w:val="0"/>
      <w:ind w:firstLine="200" w:firstLineChars="200"/>
    </w:pPr>
    <w:rPr>
      <w:kern w:val="0"/>
    </w:rPr>
  </w:style>
  <w:style w:type="paragraph" w:customStyle="1" w:styleId="59">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qFormat/>
    <w:uiPriority w:val="0"/>
    <w:pPr>
      <w:adjustRightInd/>
      <w:snapToGrid/>
      <w:ind w:firstLine="0" w:firstLineChars="0"/>
    </w:pPr>
    <w:rPr>
      <w:rFonts w:ascii="宋体" w:hAnsi="宋体"/>
      <w:kern w:val="2"/>
    </w:rPr>
  </w:style>
  <w:style w:type="paragraph" w:customStyle="1" w:styleId="61">
    <w:name w:val="标准文件_标准部门"/>
    <w:basedOn w:val="1"/>
    <w:qFormat/>
    <w:uiPriority w:val="0"/>
    <w:pPr>
      <w:jc w:val="center"/>
    </w:pPr>
    <w:rPr>
      <w:rFonts w:ascii="黑体" w:eastAsia="黑体"/>
      <w:kern w:val="0"/>
      <w:sz w:val="44"/>
    </w:rPr>
  </w:style>
  <w:style w:type="paragraph" w:customStyle="1" w:styleId="62">
    <w:name w:val="标准文件_标准代替"/>
    <w:basedOn w:val="1"/>
    <w:next w:val="1"/>
    <w:uiPriority w:val="0"/>
    <w:pPr>
      <w:spacing w:line="310" w:lineRule="exact"/>
      <w:jc w:val="right"/>
    </w:pPr>
    <w:rPr>
      <w:rFonts w:ascii="宋体" w:hAnsi="宋体"/>
      <w:kern w:val="0"/>
    </w:rPr>
  </w:style>
  <w:style w:type="paragraph" w:customStyle="1" w:styleId="63">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qFormat/>
    <w:uiPriority w:val="0"/>
    <w:pPr>
      <w:jc w:val="left"/>
    </w:pPr>
  </w:style>
  <w:style w:type="paragraph" w:customStyle="1" w:styleId="66">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7">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uiPriority w:val="0"/>
    <w:rPr>
      <w:rFonts w:ascii="黑体" w:eastAsia="黑体"/>
      <w:spacing w:val="0"/>
      <w:w w:val="100"/>
      <w:position w:val="3"/>
      <w:sz w:val="28"/>
    </w:rPr>
  </w:style>
  <w:style w:type="paragraph" w:customStyle="1" w:styleId="70">
    <w:name w:val="标准文件_方框数字列项"/>
    <w:basedOn w:val="59"/>
    <w:qFormat/>
    <w:uiPriority w:val="0"/>
    <w:pPr>
      <w:numPr>
        <w:ilvl w:val="0"/>
        <w:numId w:val="3"/>
      </w:numPr>
      <w:ind w:firstLine="0" w:firstLineChars="0"/>
    </w:pPr>
  </w:style>
  <w:style w:type="paragraph" w:customStyle="1" w:styleId="71">
    <w:name w:val="标准文件_封面标准编号"/>
    <w:basedOn w:val="1"/>
    <w:next w:val="62"/>
    <w:uiPriority w:val="0"/>
    <w:pPr>
      <w:spacing w:line="310" w:lineRule="exact"/>
      <w:jc w:val="right"/>
    </w:pPr>
    <w:rPr>
      <w:rFonts w:ascii="黑体" w:eastAsia="黑体"/>
      <w:kern w:val="0"/>
      <w:sz w:val="28"/>
    </w:rPr>
  </w:style>
  <w:style w:type="paragraph" w:customStyle="1" w:styleId="72">
    <w:name w:val="标准文件_封面标准分类号"/>
    <w:basedOn w:val="1"/>
    <w:qFormat/>
    <w:uiPriority w:val="0"/>
    <w:rPr>
      <w:rFonts w:ascii="黑体" w:eastAsia="黑体"/>
      <w:b/>
      <w:kern w:val="0"/>
      <w:sz w:val="28"/>
    </w:rPr>
  </w:style>
  <w:style w:type="paragraph" w:customStyle="1" w:styleId="73">
    <w:name w:val="标准文件_封面标准名称"/>
    <w:basedOn w:val="1"/>
    <w:qFormat/>
    <w:uiPriority w:val="0"/>
    <w:pPr>
      <w:spacing w:line="240" w:lineRule="auto"/>
      <w:jc w:val="center"/>
    </w:pPr>
    <w:rPr>
      <w:rFonts w:ascii="黑体" w:eastAsia="黑体"/>
      <w:kern w:val="0"/>
      <w:sz w:val="52"/>
    </w:rPr>
  </w:style>
  <w:style w:type="paragraph" w:customStyle="1" w:styleId="74">
    <w:name w:val="标准文件_封面标准英文名称"/>
    <w:basedOn w:val="1"/>
    <w:uiPriority w:val="0"/>
    <w:pPr>
      <w:spacing w:line="240" w:lineRule="auto"/>
      <w:jc w:val="center"/>
    </w:pPr>
    <w:rPr>
      <w:rFonts w:ascii="黑体" w:eastAsia="黑体"/>
      <w:b/>
      <w:sz w:val="28"/>
    </w:rPr>
  </w:style>
  <w:style w:type="paragraph" w:customStyle="1" w:styleId="75">
    <w:name w:val="标准文件_封面发布日期"/>
    <w:basedOn w:val="1"/>
    <w:uiPriority w:val="0"/>
    <w:pPr>
      <w:spacing w:line="310" w:lineRule="exact"/>
    </w:pPr>
    <w:rPr>
      <w:rFonts w:ascii="黑体" w:eastAsia="黑体"/>
      <w:kern w:val="0"/>
      <w:sz w:val="28"/>
    </w:rPr>
  </w:style>
  <w:style w:type="paragraph" w:customStyle="1" w:styleId="76">
    <w:name w:val="标准文件_封面密级"/>
    <w:basedOn w:val="1"/>
    <w:qFormat/>
    <w:uiPriority w:val="0"/>
    <w:rPr>
      <w:rFonts w:eastAsia="黑体"/>
      <w:sz w:val="32"/>
    </w:rPr>
  </w:style>
  <w:style w:type="paragraph" w:customStyle="1" w:styleId="77">
    <w:name w:val="标准文件_封面实施日期"/>
    <w:basedOn w:val="1"/>
    <w:qFormat/>
    <w:uiPriority w:val="0"/>
    <w:pPr>
      <w:spacing w:line="310" w:lineRule="exact"/>
      <w:jc w:val="right"/>
    </w:pPr>
    <w:rPr>
      <w:rFonts w:ascii="黑体" w:eastAsia="黑体"/>
      <w:sz w:val="28"/>
    </w:rPr>
  </w:style>
  <w:style w:type="paragraph" w:customStyle="1" w:styleId="78">
    <w:name w:val="标准文件_封面抬头"/>
    <w:basedOn w:val="59"/>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7">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Char"/>
    <w:link w:val="14"/>
    <w:uiPriority w:val="0"/>
    <w:rPr>
      <w:rFonts w:ascii="Times New Roman" w:hAnsi="Times New Roman" w:eastAsia="宋体" w:cs="Times New Roman"/>
      <w:szCs w:val="20"/>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pPr>
  </w:style>
  <w:style w:type="paragraph" w:customStyle="1" w:styleId="94">
    <w:name w:val="标准文件_目录标题"/>
    <w:basedOn w:val="1"/>
    <w:uiPriority w:val="0"/>
    <w:pPr>
      <w:spacing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ind w:left="0" w:firstLine="200"/>
    </w:pPr>
  </w:style>
  <w:style w:type="paragraph" w:customStyle="1" w:styleId="97">
    <w:name w:val="标准文件_三级条标题"/>
    <w:basedOn w:val="68"/>
    <w:next w:val="59"/>
    <w:uiPriority w:val="0"/>
    <w:pPr>
      <w:widowControl/>
      <w:numPr>
        <w:ilvl w:val="4"/>
      </w:numPr>
      <w:outlineLvl w:val="3"/>
    </w:pPr>
  </w:style>
  <w:style w:type="character" w:customStyle="1" w:styleId="98">
    <w:name w:val="Subtle Reference"/>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Char"/>
    <w:link w:val="22"/>
    <w:semiHidden/>
    <w:uiPriority w:val="0"/>
    <w:rPr>
      <w:rFonts w:ascii="宋体" w:hAnsi="Times New Roman" w:eastAsia="宋体" w:cs="Times New Roman"/>
      <w:sz w:val="18"/>
      <w:szCs w:val="18"/>
    </w:rPr>
  </w:style>
  <w:style w:type="paragraph" w:customStyle="1" w:styleId="103">
    <w:name w:val="标准文件_条文脚注"/>
    <w:basedOn w:val="22"/>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5">
    <w:name w:val="标准文件_图表脚注内容"/>
    <w:qFormat/>
    <w:uiPriority w:val="0"/>
    <w:rPr>
      <w:rFonts w:ascii="宋体" w:hAnsi="宋体" w:eastAsia="宋体" w:cs="Times New Roman"/>
      <w:spacing w:val="0"/>
      <w:sz w:val="18"/>
      <w:vertAlign w:val="superscript"/>
    </w:rPr>
  </w:style>
  <w:style w:type="paragraph" w:customStyle="1" w:styleId="106">
    <w:name w:val="标准文件_五级条标题"/>
    <w:next w:val="59"/>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qFormat/>
    <w:uiPriority w:val="0"/>
    <w:pPr>
      <w:numPr>
        <w:ilvl w:val="2"/>
      </w:numPr>
      <w:spacing w:before="50" w:beforeLines="50" w:after="50" w:afterLines="50"/>
      <w:outlineLvl w:val="1"/>
    </w:p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59"/>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uiPriority w:val="0"/>
    <w:pPr>
      <w:outlineLvl w:val="4"/>
    </w:pPr>
  </w:style>
  <w:style w:type="paragraph" w:customStyle="1" w:styleId="133">
    <w:name w:val="附录四级无标题条"/>
    <w:basedOn w:val="132"/>
    <w:next w:val="59"/>
    <w:uiPriority w:val="0"/>
    <w:pPr>
      <w:outlineLvl w:val="5"/>
    </w:pPr>
  </w:style>
  <w:style w:type="paragraph" w:customStyle="1" w:styleId="134">
    <w:name w:val="附录图"/>
    <w:next w:val="59"/>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qFormat/>
    <w:uiPriority w:val="0"/>
    <w:pPr>
      <w:outlineLvl w:val="6"/>
    </w:pPr>
  </w:style>
  <w:style w:type="paragraph" w:customStyle="1" w:styleId="137">
    <w:name w:val="附录性质"/>
    <w:basedOn w:val="1"/>
    <w:uiPriority w:val="0"/>
    <w:pPr>
      <w:widowControl/>
      <w:adjustRightInd/>
      <w:jc w:val="center"/>
    </w:pPr>
    <w:rPr>
      <w:rFonts w:ascii="黑体" w:eastAsia="黑体"/>
    </w:rPr>
  </w:style>
  <w:style w:type="paragraph" w:customStyle="1" w:styleId="138">
    <w:name w:val="附录一级无标题条"/>
    <w:basedOn w:val="90"/>
    <w:next w:val="59"/>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semiHidden/>
    <w:qFormat/>
    <w:uiPriority w:val="0"/>
    <w:pPr>
      <w:adjustRightInd/>
      <w:spacing w:line="240" w:lineRule="auto"/>
      <w:jc w:val="left"/>
    </w:pPr>
    <w:rPr>
      <w:bCs/>
      <w:iCs/>
    </w:rPr>
  </w:style>
  <w:style w:type="paragraph" w:customStyle="1" w:styleId="146">
    <w:name w:val="目录 31"/>
    <w:basedOn w:val="1"/>
    <w:next w:val="1"/>
    <w:semiHidden/>
    <w:qFormat/>
    <w:uiPriority w:val="0"/>
    <w:pPr>
      <w:spacing w:line="240" w:lineRule="auto"/>
    </w:pPr>
    <w:rPr>
      <w:rFonts w:ascii="宋体" w:hAnsi="宋体"/>
      <w:iCs/>
    </w:rPr>
  </w:style>
  <w:style w:type="paragraph" w:customStyle="1" w:styleId="147">
    <w:name w:val="目录 41"/>
    <w:basedOn w:val="1"/>
    <w:next w:val="1"/>
    <w:semiHidden/>
    <w:qFormat/>
    <w:uiPriority w:val="0"/>
    <w:pPr>
      <w:adjustRightInd/>
      <w:spacing w:line="240" w:lineRule="auto"/>
      <w:jc w:val="left"/>
    </w:pPr>
  </w:style>
  <w:style w:type="paragraph" w:customStyle="1" w:styleId="148">
    <w:name w:val="目录 51"/>
    <w:basedOn w:val="1"/>
    <w:next w:val="1"/>
    <w:semiHidden/>
    <w:uiPriority w:val="0"/>
    <w:pPr>
      <w:spacing w:line="240" w:lineRule="auto"/>
    </w:pPr>
    <w:rPr>
      <w:rFonts w:ascii="宋体" w:hAnsi="宋体"/>
    </w:rPr>
  </w:style>
  <w:style w:type="paragraph" w:customStyle="1" w:styleId="149">
    <w:name w:val="目录 61"/>
    <w:basedOn w:val="1"/>
    <w:next w:val="1"/>
    <w:semiHidden/>
    <w:qFormat/>
    <w:uiPriority w:val="0"/>
    <w:pPr>
      <w:adjustRightInd/>
      <w:spacing w:line="240" w:lineRule="auto"/>
      <w:jc w:val="left"/>
    </w:pPr>
  </w:style>
  <w:style w:type="paragraph" w:customStyle="1" w:styleId="150">
    <w:name w:val="目录 71"/>
    <w:basedOn w:val="149"/>
    <w:semiHidden/>
    <w:uiPriority w:val="0"/>
    <w:pPr>
      <w:ind w:left="1260"/>
    </w:pPr>
  </w:style>
  <w:style w:type="paragraph" w:customStyle="1" w:styleId="151">
    <w:name w:val="目录 81"/>
    <w:basedOn w:val="150"/>
    <w:semiHidden/>
    <w:qFormat/>
    <w:uiPriority w:val="0"/>
    <w:pPr>
      <w:ind w:left="1470"/>
    </w:pPr>
  </w:style>
  <w:style w:type="paragraph" w:customStyle="1" w:styleId="152">
    <w:name w:val="目录 91"/>
    <w:basedOn w:val="151"/>
    <w:semiHidden/>
    <w:qFormat/>
    <w:uiPriority w:val="0"/>
    <w:pPr>
      <w:ind w:left="1680"/>
    </w:pPr>
  </w:style>
  <w:style w:type="paragraph" w:customStyle="1" w:styleId="153">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framePr w:wrap="around"/>
      <w:spacing w:line="0" w:lineRule="atLeast"/>
    </w:pPr>
    <w:rPr>
      <w:rFonts w:ascii="黑体" w:eastAsia="黑体"/>
      <w:b w:val="0"/>
    </w:rPr>
  </w:style>
  <w:style w:type="paragraph" w:customStyle="1" w:styleId="1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wrap="around"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108"/>
    <w:qFormat/>
    <w:uiPriority w:val="0"/>
    <w:pPr>
      <w:spacing w:before="0" w:beforeLines="0" w:after="0" w:afterLines="0"/>
      <w:outlineLvl w:val="9"/>
    </w:pPr>
    <w:rPr>
      <w:rFonts w:ascii="宋体" w:eastAsia="宋体"/>
    </w:rPr>
  </w:style>
  <w:style w:type="paragraph" w:customStyle="1" w:styleId="166">
    <w:name w:val="标准文件_五级无标题"/>
    <w:basedOn w:val="106"/>
    <w:qFormat/>
    <w:uiPriority w:val="0"/>
    <w:pPr>
      <w:spacing w:before="0" w:beforeLines="0" w:after="0" w:afterLines="0"/>
      <w:outlineLvl w:val="9"/>
    </w:pPr>
    <w:rPr>
      <w:rFonts w:ascii="宋体" w:eastAsia="宋体"/>
    </w:rPr>
  </w:style>
  <w:style w:type="paragraph" w:customStyle="1" w:styleId="167">
    <w:name w:val="标准文件_三级无标题"/>
    <w:basedOn w:val="97"/>
    <w:qFormat/>
    <w:uiPriority w:val="0"/>
    <w:pPr>
      <w:spacing w:before="0" w:beforeLines="0" w:after="0" w:afterLines="0"/>
      <w:outlineLvl w:val="9"/>
    </w:pPr>
    <w:rPr>
      <w:rFonts w:ascii="宋体" w:eastAsia="宋体"/>
    </w:rPr>
  </w:style>
  <w:style w:type="paragraph" w:customStyle="1" w:styleId="168">
    <w:name w:val="标准文件_二级无标题"/>
    <w:basedOn w:val="68"/>
    <w:qFormat/>
    <w:uiPriority w:val="0"/>
    <w:pPr>
      <w:spacing w:before="0" w:beforeLines="0" w:after="0" w:afterLines="0"/>
      <w:outlineLvl w:val="9"/>
    </w:pPr>
    <w:rPr>
      <w:rFonts w:ascii="宋体" w:eastAsia="宋体"/>
    </w:rPr>
  </w:style>
  <w:style w:type="paragraph" w:customStyle="1" w:styleId="169">
    <w:name w:val="标准_四级无标题"/>
    <w:basedOn w:val="101"/>
    <w:next w:val="59"/>
    <w:qFormat/>
    <w:uiPriority w:val="0"/>
    <w:rPr>
      <w:rFonts w:eastAsia="宋体"/>
    </w:rPr>
  </w:style>
  <w:style w:type="paragraph" w:customStyle="1" w:styleId="170">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qFormat/>
    <w:uiPriority w:val="0"/>
    <w:pPr>
      <w:numPr>
        <w:ilvl w:val="0"/>
        <w:numId w:val="24"/>
      </w:numPr>
      <w:ind w:firstLine="0" w:firstLineChars="0"/>
    </w:pPr>
    <w:rPr>
      <w:rFonts w:cs="Arial"/>
      <w:szCs w:val="28"/>
    </w:rPr>
  </w:style>
  <w:style w:type="paragraph" w:customStyle="1" w:styleId="173">
    <w:name w:val="标准文件_附录标题"/>
    <w:basedOn w:val="79"/>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qFormat/>
    <w:uiPriority w:val="0"/>
    <w:pPr>
      <w:numPr>
        <w:ilvl w:val="0"/>
        <w:numId w:val="25"/>
      </w:numPr>
      <w:adjustRightInd/>
      <w:spacing w:line="240" w:lineRule="auto"/>
      <w:ind w:left="783"/>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qFormat/>
    <w:uiPriority w:val="0"/>
    <w:pPr>
      <w:ind w:firstLine="0" w:firstLineChars="0"/>
      <w:jc w:val="center"/>
    </w:pPr>
    <w:rPr>
      <w:sz w:val="18"/>
    </w:rPr>
  </w:style>
  <w:style w:type="paragraph" w:customStyle="1" w:styleId="182">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qFormat/>
    <w:uiPriority w:val="0"/>
    <w:rPr>
      <w:rFonts w:ascii="宋体" w:hAnsi="Times New Roman"/>
      <w:sz w:val="21"/>
    </w:rPr>
  </w:style>
  <w:style w:type="paragraph" w:customStyle="1" w:styleId="188">
    <w:name w:val="标准文件_表格续"/>
    <w:basedOn w:val="59"/>
    <w:next w:val="59"/>
    <w:qFormat/>
    <w:uiPriority w:val="0"/>
    <w:pPr>
      <w:jc w:val="center"/>
    </w:pPr>
    <w:rPr>
      <w:rFonts w:ascii="黑体" w:hAnsi="黑体" w:eastAsia="黑体"/>
    </w:rPr>
  </w:style>
  <w:style w:type="character" w:styleId="189">
    <w:name w:val="Placeholder Text"/>
    <w:basedOn w:val="30"/>
    <w:semiHidden/>
    <w:qFormat/>
    <w:uiPriority w:val="99"/>
    <w:rPr>
      <w:color w:val="808080"/>
    </w:rPr>
  </w:style>
  <w:style w:type="paragraph" w:customStyle="1" w:styleId="190">
    <w:name w:val="标准文件_二级项2"/>
    <w:basedOn w:val="59"/>
    <w:qFormat/>
    <w:uiPriority w:val="0"/>
    <w:pPr>
      <w:numPr>
        <w:ilvl w:val="1"/>
        <w:numId w:val="21"/>
      </w:numPr>
      <w:ind w:left="1271" w:hanging="420" w:firstLineChars="0"/>
    </w:pPr>
  </w:style>
  <w:style w:type="paragraph" w:customStyle="1" w:styleId="191">
    <w:name w:val="标准文件_三级项2"/>
    <w:basedOn w:val="59"/>
    <w:qFormat/>
    <w:uiPriority w:val="0"/>
    <w:pPr>
      <w:numPr>
        <w:ilvl w:val="0"/>
        <w:numId w:val="30"/>
      </w:numPr>
      <w:spacing w:line="300" w:lineRule="exact"/>
      <w:ind w:left="1276" w:hanging="425" w:firstLineChars="0"/>
    </w:pPr>
    <w:rPr>
      <w:rFonts w:ascii="Times New Roman"/>
    </w:rPr>
  </w:style>
  <w:style w:type="paragraph" w:customStyle="1" w:styleId="192">
    <w:name w:val="标准文件_一级项2"/>
    <w:basedOn w:val="59"/>
    <w:qFormat/>
    <w:uiPriority w:val="0"/>
    <w:pPr>
      <w:numPr>
        <w:ilvl w:val="0"/>
        <w:numId w:val="31"/>
      </w:numPr>
      <w:spacing w:line="300" w:lineRule="exact"/>
      <w:ind w:left="1271" w:hanging="420" w:firstLineChars="0"/>
    </w:pPr>
    <w:rPr>
      <w:rFonts w:ascii="Times New Roman"/>
    </w:rPr>
  </w:style>
  <w:style w:type="paragraph" w:customStyle="1" w:styleId="193">
    <w:name w:val="标准文件_提示"/>
    <w:basedOn w:val="59"/>
    <w:next w:val="59"/>
    <w:qFormat/>
    <w:uiPriority w:val="0"/>
    <w:pPr>
      <w:ind w:firstLine="420"/>
    </w:pPr>
    <w:rPr>
      <w:rFonts w:ascii="黑体" w:eastAsia="黑体"/>
    </w:rPr>
  </w:style>
  <w:style w:type="character" w:customStyle="1" w:styleId="194">
    <w:name w:val="标准文件_来源"/>
    <w:basedOn w:val="30"/>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wrap="around" w:vAnchor="page" w:hAnchor="page" w:x="1419" w:y="14097"/>
    </w:pPr>
  </w:style>
  <w:style w:type="paragraph" w:customStyle="1" w:styleId="197">
    <w:name w:val="其他实施日期"/>
    <w:basedOn w:val="157"/>
    <w:uiPriority w:val="0"/>
    <w:pPr>
      <w:framePr w:w="3997" w:h="471" w:hRule="exact" w:vSpace="181" w:wrap="around" w:vAnchor="page" w:hAnchor="page" w:x="7089" w:y="14097"/>
    </w:pPr>
  </w:style>
  <w:style w:type="paragraph" w:customStyle="1" w:styleId="198">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framePr/>
      <w:spacing w:before="57"/>
    </w:pPr>
    <w:rPr>
      <w:sz w:val="21"/>
    </w:rPr>
  </w:style>
  <w:style w:type="paragraph" w:customStyle="1" w:styleId="200">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qFormat/>
    <w:uiPriority w:val="0"/>
    <w:pPr>
      <w:ind w:left="811" w:firstLine="0" w:firstLineChars="0"/>
    </w:pPr>
    <w:rPr>
      <w:sz w:val="18"/>
    </w:rPr>
  </w:style>
  <w:style w:type="paragraph" w:customStyle="1" w:styleId="209">
    <w:name w:val="标准文件_注X后"/>
    <w:basedOn w:val="59"/>
    <w:qFormat/>
    <w:uiPriority w:val="0"/>
    <w:pPr>
      <w:ind w:left="811" w:firstLine="0" w:firstLineChars="0"/>
    </w:pPr>
    <w:rPr>
      <w:sz w:val="18"/>
    </w:rPr>
  </w:style>
  <w:style w:type="paragraph" w:customStyle="1" w:styleId="210">
    <w:name w:val="标准文件_示例后"/>
    <w:basedOn w:val="59"/>
    <w:qFormat/>
    <w:uiPriority w:val="0"/>
    <w:pPr>
      <w:ind w:left="964" w:firstLine="0" w:firstLineChars="0"/>
    </w:pPr>
    <w:rPr>
      <w:sz w:val="18"/>
    </w:rPr>
  </w:style>
  <w:style w:type="paragraph" w:customStyle="1" w:styleId="211">
    <w:name w:val="标准文件_示例X后"/>
    <w:basedOn w:val="59"/>
    <w:link w:val="212"/>
    <w:qFormat/>
    <w:uiPriority w:val="0"/>
    <w:pPr>
      <w:ind w:left="1049" w:firstLine="0" w:firstLineChars="0"/>
    </w:pPr>
    <w:rPr>
      <w:sz w:val="18"/>
    </w:rPr>
  </w:style>
  <w:style w:type="character" w:customStyle="1" w:styleId="212">
    <w:name w:val="标准文件_示例X后 字符"/>
    <w:basedOn w:val="187"/>
    <w:link w:val="211"/>
    <w:uiPriority w:val="0"/>
    <w:rPr>
      <w:rFonts w:ascii="宋体" w:hAnsi="Times New Roman"/>
      <w:sz w:val="18"/>
    </w:rPr>
  </w:style>
  <w:style w:type="paragraph" w:customStyle="1" w:styleId="213">
    <w:name w:val="标准文件_索引项"/>
    <w:basedOn w:val="59"/>
    <w:next w:val="59"/>
    <w:qFormat/>
    <w:uiPriority w:val="0"/>
    <w:pPr>
      <w:tabs>
        <w:tab w:val="right" w:leader="dot" w:pos="9356"/>
      </w:tabs>
      <w:ind w:left="210" w:hanging="210" w:firstLineChars="0"/>
      <w:jc w:val="left"/>
    </w:pPr>
  </w:style>
  <w:style w:type="paragraph" w:customStyle="1" w:styleId="214">
    <w:name w:val="标准文件_附录一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三级无标题"/>
    <w:basedOn w:val="205"/>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qFormat/>
    <w:uiPriority w:val="0"/>
    <w:rPr>
      <w:rFonts w:hAnsi="黑体"/>
    </w:rPr>
  </w:style>
  <w:style w:type="paragraph" w:customStyle="1" w:styleId="225">
    <w:name w:val="标准文件_脚注内容"/>
    <w:basedOn w:val="59"/>
    <w:qFormat/>
    <w:uiPriority w:val="0"/>
    <w:pPr>
      <w:ind w:left="400" w:leftChars="200" w:hanging="200" w:hangingChars="200"/>
    </w:pPr>
    <w:rPr>
      <w:sz w:val="15"/>
    </w:rPr>
  </w:style>
  <w:style w:type="paragraph" w:customStyle="1" w:styleId="226">
    <w:name w:val="标准文件_术语条一"/>
    <w:basedOn w:val="165"/>
    <w:next w:val="59"/>
    <w:qFormat/>
    <w:uiPriority w:val="0"/>
  </w:style>
  <w:style w:type="paragraph" w:customStyle="1" w:styleId="227">
    <w:name w:val="标准文件_术语条二"/>
    <w:basedOn w:val="168"/>
    <w:next w:val="59"/>
    <w:qFormat/>
    <w:uiPriority w:val="0"/>
  </w:style>
  <w:style w:type="paragraph" w:customStyle="1" w:styleId="228">
    <w:name w:val="标准文件_术语条三"/>
    <w:basedOn w:val="167"/>
    <w:next w:val="59"/>
    <w:qFormat/>
    <w:uiPriority w:val="0"/>
  </w:style>
  <w:style w:type="paragraph" w:customStyle="1" w:styleId="229">
    <w:name w:val="标准文件_术语条四"/>
    <w:basedOn w:val="170"/>
    <w:next w:val="59"/>
    <w:qFormat/>
    <w:uiPriority w:val="0"/>
  </w:style>
  <w:style w:type="paragraph" w:customStyle="1" w:styleId="230">
    <w:name w:val="标准文件_术语条五"/>
    <w:basedOn w:val="166"/>
    <w:next w:val="59"/>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2">
    <w:name w:val="段"/>
    <w:link w:val="23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3">
    <w:name w:val="段 Char"/>
    <w:link w:val="232"/>
    <w:qFormat/>
    <w:uiPriority w:val="0"/>
    <w:rPr>
      <w:rFonts w:ascii="宋体" w:hAnsi="Times New Roman"/>
      <w:sz w:val="21"/>
    </w:rPr>
  </w:style>
  <w:style w:type="paragraph" w:customStyle="1" w:styleId="234">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235">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236">
    <w:name w:val="列项◆（三级）"/>
    <w:basedOn w:val="1"/>
    <w:uiPriority w:val="0"/>
    <w:pPr>
      <w:tabs>
        <w:tab w:val="left" w:pos="1678"/>
      </w:tabs>
      <w:adjustRightInd/>
      <w:spacing w:line="240" w:lineRule="auto"/>
      <w:ind w:left="1678" w:hanging="414"/>
    </w:pPr>
    <w:rPr>
      <w:rFonts w:ascii="宋体" w:hAnsi="Times New Roman"/>
    </w:rPr>
  </w:style>
  <w:style w:type="paragraph" w:customStyle="1" w:styleId="237">
    <w:name w:val="数字编号列项（二级）"/>
    <w:uiPriority w:val="0"/>
    <w:pPr>
      <w:numPr>
        <w:ilvl w:val="1"/>
        <w:numId w:val="32"/>
      </w:numPr>
      <w:jc w:val="both"/>
    </w:pPr>
    <w:rPr>
      <w:rFonts w:ascii="宋体" w:hAnsi="Times New Roman" w:eastAsia="宋体" w:cs="Times New Roman"/>
      <w:sz w:val="21"/>
      <w:lang w:val="en-US" w:eastAsia="zh-CN" w:bidi="ar-SA"/>
    </w:rPr>
  </w:style>
  <w:style w:type="paragraph" w:customStyle="1" w:styleId="238">
    <w:name w:val="字母编号列项（一级）"/>
    <w:qFormat/>
    <w:uiPriority w:val="0"/>
    <w:pPr>
      <w:numPr>
        <w:ilvl w:val="0"/>
        <w:numId w:val="32"/>
      </w:numPr>
      <w:jc w:val="both"/>
    </w:pPr>
    <w:rPr>
      <w:rFonts w:ascii="宋体" w:hAnsi="Times New Roman" w:eastAsia="宋体" w:cs="Times New Roman"/>
      <w:sz w:val="21"/>
      <w:lang w:val="en-US" w:eastAsia="zh-CN" w:bidi="ar-SA"/>
    </w:rPr>
  </w:style>
  <w:style w:type="character" w:customStyle="1" w:styleId="239">
    <w:name w:val="样式 宋体 图案: 15% (自动设置 前景 白色 背景)"/>
    <w:qFormat/>
    <w:uiPriority w:val="0"/>
    <w:rPr>
      <w:rFonts w:ascii="宋体" w:hAnsi="宋体"/>
      <w:color w:val="auto"/>
      <w:u w:val="none"/>
      <w:shd w:val="clear" w:color="auto" w:fill="auto"/>
    </w:rPr>
  </w:style>
  <w:style w:type="paragraph" w:customStyle="1" w:styleId="240">
    <w:name w:val="_ Single Txt_G"/>
    <w:basedOn w:val="1"/>
    <w:link w:val="241"/>
    <w:qFormat/>
    <w:uiPriority w:val="0"/>
    <w:pPr>
      <w:widowControl/>
      <w:suppressAutoHyphens/>
      <w:adjustRightInd/>
      <w:spacing w:after="120" w:line="240" w:lineRule="atLeast"/>
      <w:ind w:left="1134" w:right="1134"/>
    </w:pPr>
    <w:rPr>
      <w:rFonts w:ascii="Times New Roman" w:hAnsi="Times New Roman"/>
      <w:kern w:val="0"/>
      <w:sz w:val="20"/>
      <w:szCs w:val="20"/>
      <w:lang w:val="en-GB" w:eastAsia="en-US"/>
    </w:rPr>
  </w:style>
  <w:style w:type="character" w:customStyle="1" w:styleId="241">
    <w:name w:val="_ Single Txt_G Char"/>
    <w:link w:val="240"/>
    <w:qFormat/>
    <w:uiPriority w:val="0"/>
    <w:rPr>
      <w:rFonts w:ascii="Times New Roman" w:hAnsi="Times New Roman"/>
      <w:lang w:val="en-GB" w:eastAsia="en-US"/>
    </w:rPr>
  </w:style>
  <w:style w:type="paragraph" w:customStyle="1" w:styleId="242">
    <w:name w:val="注："/>
    <w:next w:val="232"/>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243">
    <w:name w:val="注×："/>
    <w:uiPriority w:val="0"/>
    <w:pPr>
      <w:widowControl w:val="0"/>
      <w:autoSpaceDE w:val="0"/>
      <w:autoSpaceDN w:val="0"/>
      <w:ind w:left="823" w:hanging="420"/>
      <w:jc w:val="both"/>
    </w:pPr>
    <w:rPr>
      <w:rFonts w:ascii="宋体" w:hAnsi="Times New Roman" w:eastAsia="宋体" w:cs="Times New Roman"/>
      <w:sz w:val="18"/>
      <w:szCs w:val="18"/>
      <w:lang w:val="en-US" w:eastAsia="zh-CN" w:bidi="ar-SA"/>
    </w:rPr>
  </w:style>
  <w:style w:type="paragraph" w:customStyle="1" w:styleId="244">
    <w:name w:val="编号列项（三级）"/>
    <w:uiPriority w:val="0"/>
    <w:rPr>
      <w:rFonts w:ascii="宋体" w:hAnsi="Times New Roman" w:eastAsia="宋体" w:cs="Times New Roman"/>
      <w:sz w:val="21"/>
      <w:lang w:val="en-US" w:eastAsia="zh-CN" w:bidi="ar-SA"/>
    </w:rPr>
  </w:style>
  <w:style w:type="paragraph" w:customStyle="1" w:styleId="245">
    <w:name w:val="条文脚注"/>
    <w:basedOn w:val="22"/>
    <w:qFormat/>
    <w:uiPriority w:val="0"/>
    <w:pPr>
      <w:spacing w:line="240" w:lineRule="auto"/>
      <w:ind w:left="0" w:leftChars="0" w:firstLine="0" w:firstLineChars="0"/>
      <w:jc w:val="both"/>
    </w:pPr>
    <w:rPr>
      <w:rFonts w:hAnsi="Times New Roman"/>
    </w:rPr>
  </w:style>
  <w:style w:type="paragraph" w:customStyle="1" w:styleId="246">
    <w:name w:val="一级条标题"/>
    <w:next w:val="232"/>
    <w:qFormat/>
    <w:uiPriority w:val="0"/>
    <w:pPr>
      <w:numPr>
        <w:ilvl w:val="1"/>
        <w:numId w:val="33"/>
      </w:numPr>
      <w:spacing w:before="156" w:beforeLines="50" w:after="156" w:afterLines="50"/>
      <w:ind w:left="0"/>
      <w:outlineLvl w:val="2"/>
    </w:pPr>
    <w:rPr>
      <w:rFonts w:ascii="黑体" w:hAnsi="Times New Roman" w:eastAsia="黑体" w:cs="Times New Roman"/>
      <w:sz w:val="21"/>
      <w:szCs w:val="21"/>
      <w:lang w:val="en-US" w:eastAsia="zh-CN" w:bidi="ar-SA"/>
    </w:rPr>
  </w:style>
  <w:style w:type="paragraph" w:customStyle="1" w:styleId="247">
    <w:name w:val="章标题"/>
    <w:next w:val="232"/>
    <w:uiPriority w:val="0"/>
    <w:pPr>
      <w:numPr>
        <w:ilvl w:val="0"/>
        <w:numId w:val="3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48">
    <w:name w:val="二级条标题"/>
    <w:basedOn w:val="246"/>
    <w:next w:val="232"/>
    <w:uiPriority w:val="0"/>
    <w:pPr>
      <w:numPr>
        <w:ilvl w:val="2"/>
      </w:numPr>
      <w:spacing w:before="50" w:after="50"/>
      <w:outlineLvl w:val="3"/>
    </w:pPr>
  </w:style>
  <w:style w:type="paragraph" w:customStyle="1" w:styleId="249">
    <w:name w:val="三级条标题"/>
    <w:basedOn w:val="248"/>
    <w:next w:val="232"/>
    <w:qFormat/>
    <w:uiPriority w:val="0"/>
    <w:pPr>
      <w:numPr>
        <w:ilvl w:val="3"/>
      </w:numPr>
      <w:outlineLvl w:val="4"/>
    </w:pPr>
  </w:style>
  <w:style w:type="paragraph" w:customStyle="1" w:styleId="250">
    <w:name w:val="四级条标题"/>
    <w:basedOn w:val="249"/>
    <w:next w:val="232"/>
    <w:uiPriority w:val="0"/>
    <w:pPr>
      <w:numPr>
        <w:ilvl w:val="4"/>
      </w:numPr>
      <w:outlineLvl w:val="5"/>
    </w:pPr>
  </w:style>
  <w:style w:type="paragraph" w:customStyle="1" w:styleId="251">
    <w:name w:val="五级条标题"/>
    <w:basedOn w:val="250"/>
    <w:next w:val="232"/>
    <w:uiPriority w:val="0"/>
    <w:pPr>
      <w:numPr>
        <w:ilvl w:val="5"/>
      </w:numPr>
      <w:outlineLvl w:val="6"/>
    </w:pPr>
  </w:style>
  <w:style w:type="paragraph" w:customStyle="1" w:styleId="252">
    <w:name w:val="_ H_2/3_G"/>
    <w:basedOn w:val="1"/>
    <w:next w:val="1"/>
    <w:qFormat/>
    <w:uiPriority w:val="0"/>
    <w:pPr>
      <w:keepNext/>
      <w:keepLines/>
      <w:widowControl/>
      <w:tabs>
        <w:tab w:val="right" w:pos="851"/>
      </w:tabs>
      <w:suppressAutoHyphens/>
      <w:adjustRightInd/>
      <w:spacing w:before="240" w:after="120" w:line="240" w:lineRule="exact"/>
      <w:ind w:left="1134" w:right="1134" w:hanging="1134"/>
      <w:jc w:val="left"/>
    </w:pPr>
    <w:rPr>
      <w:rFonts w:ascii="Times New Roman" w:hAnsi="Times New Roman"/>
      <w:b/>
      <w:kern w:val="0"/>
      <w:sz w:val="20"/>
      <w:szCs w:val="20"/>
      <w:lang w:val="en-GB" w:eastAsia="en-US"/>
    </w:rPr>
  </w:style>
  <w:style w:type="paragraph" w:styleId="253">
    <w:name w:val="List Paragraph"/>
    <w:basedOn w:val="1"/>
    <w:qFormat/>
    <w:uiPriority w:val="34"/>
    <w:pPr>
      <w:ind w:firstLine="420" w:firstLineChars="200"/>
    </w:pPr>
  </w:style>
  <w:style w:type="character" w:customStyle="1" w:styleId="254">
    <w:name w:val="批注文字 Char"/>
    <w:basedOn w:val="30"/>
    <w:link w:val="13"/>
    <w:semiHidden/>
    <w:uiPriority w:val="99"/>
    <w:rPr>
      <w:kern w:val="2"/>
      <w:sz w:val="21"/>
      <w:szCs w:val="21"/>
    </w:rPr>
  </w:style>
  <w:style w:type="character" w:customStyle="1" w:styleId="255">
    <w:name w:val="批注主题 Char"/>
    <w:basedOn w:val="254"/>
    <w:link w:val="27"/>
    <w:semiHidden/>
    <w:qFormat/>
    <w:uiPriority w:val="99"/>
    <w:rPr>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glossaryDocument" Target="glossary/document.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emf"/><Relationship Id="rId37" Type="http://schemas.openxmlformats.org/officeDocument/2006/relationships/image" Target="media/image24.emf"/><Relationship Id="rId36" Type="http://schemas.openxmlformats.org/officeDocument/2006/relationships/image" Target="media/image23.png"/><Relationship Id="rId35" Type="http://schemas.openxmlformats.org/officeDocument/2006/relationships/image" Target="media/image22.emf"/><Relationship Id="rId34" Type="http://schemas.openxmlformats.org/officeDocument/2006/relationships/image" Target="media/image21.wmf"/><Relationship Id="rId33" Type="http://schemas.openxmlformats.org/officeDocument/2006/relationships/image" Target="media/image20.emf"/><Relationship Id="rId32" Type="http://schemas.openxmlformats.org/officeDocument/2006/relationships/image" Target="media/image19.wmf"/><Relationship Id="rId31" Type="http://schemas.openxmlformats.org/officeDocument/2006/relationships/image" Target="media/image18.emf"/><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emf"/><Relationship Id="rId23" Type="http://schemas.openxmlformats.org/officeDocument/2006/relationships/image" Target="media/image10.emf"/><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image" Target="media/image4.wmf"/><Relationship Id="rId16" Type="http://schemas.openxmlformats.org/officeDocument/2006/relationships/image" Target="media/image3.emf"/><Relationship Id="rId15" Type="http://schemas.openxmlformats.org/officeDocument/2006/relationships/image" Target="media/image2.wmf"/><Relationship Id="rId14" Type="http://schemas.openxmlformats.org/officeDocument/2006/relationships/image" Target="media/image1.tif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E0493AE4A094218A6C7435370DA1E2F"/>
        <w:style w:val=""/>
        <w:category>
          <w:name w:val="常规"/>
          <w:gallery w:val="placeholder"/>
        </w:category>
        <w:types>
          <w:type w:val="bbPlcHdr"/>
        </w:types>
        <w:behaviors>
          <w:behavior w:val="content"/>
        </w:behaviors>
        <w:description w:val=""/>
        <w:guid w:val="{BF969436-EEEE-4E71-A940-50E770E13F3A}"/>
      </w:docPartPr>
      <w:docPartBody>
        <w:p>
          <w:pPr>
            <w:pStyle w:val="5"/>
          </w:pPr>
          <w:r>
            <w:rPr>
              <w:rStyle w:val="4"/>
              <w:rFonts w:hint="eastAsia"/>
            </w:rPr>
            <w:t>单击或点击此处输入文字。</w:t>
          </w:r>
        </w:p>
      </w:docPartBody>
    </w:docPart>
    <w:docPart>
      <w:docPartPr>
        <w:name w:val="60BE692A37B64F6E83FC6AD4E5497E62"/>
        <w:style w:val=""/>
        <w:category>
          <w:name w:val="常规"/>
          <w:gallery w:val="placeholder"/>
        </w:category>
        <w:types>
          <w:type w:val="bbPlcHdr"/>
        </w:types>
        <w:behaviors>
          <w:behavior w:val="content"/>
        </w:behaviors>
        <w:description w:val=""/>
        <w:guid w:val="{83BAE9B6-1306-4A07-B400-50370DA5B0B5}"/>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7B"/>
    <w:rsid w:val="000505A3"/>
    <w:rsid w:val="000F2D52"/>
    <w:rsid w:val="0011361A"/>
    <w:rsid w:val="00124BC3"/>
    <w:rsid w:val="00145BA3"/>
    <w:rsid w:val="00156941"/>
    <w:rsid w:val="001B28AF"/>
    <w:rsid w:val="001B54CF"/>
    <w:rsid w:val="001B554D"/>
    <w:rsid w:val="00251DFE"/>
    <w:rsid w:val="002D707B"/>
    <w:rsid w:val="0031290A"/>
    <w:rsid w:val="00313E99"/>
    <w:rsid w:val="003147E0"/>
    <w:rsid w:val="00381B4A"/>
    <w:rsid w:val="003F5027"/>
    <w:rsid w:val="004568D7"/>
    <w:rsid w:val="004C0DB7"/>
    <w:rsid w:val="004D6FF1"/>
    <w:rsid w:val="006032D4"/>
    <w:rsid w:val="007238C7"/>
    <w:rsid w:val="00783FD1"/>
    <w:rsid w:val="00784038"/>
    <w:rsid w:val="008B6D0B"/>
    <w:rsid w:val="008E58DA"/>
    <w:rsid w:val="00912CEA"/>
    <w:rsid w:val="009457E4"/>
    <w:rsid w:val="009E28F1"/>
    <w:rsid w:val="009F002F"/>
    <w:rsid w:val="00C1745F"/>
    <w:rsid w:val="00C56A27"/>
    <w:rsid w:val="00CC7560"/>
    <w:rsid w:val="00CF22D3"/>
    <w:rsid w:val="00D44D46"/>
    <w:rsid w:val="00D45A6E"/>
    <w:rsid w:val="00D94336"/>
    <w:rsid w:val="00DC6157"/>
    <w:rsid w:val="00E118A2"/>
    <w:rsid w:val="00E85CDB"/>
    <w:rsid w:val="00E97EDF"/>
    <w:rsid w:val="00EF732C"/>
    <w:rsid w:val="00F34F94"/>
    <w:rsid w:val="00F43F9C"/>
    <w:rsid w:val="00FA1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8E0493AE4A094218A6C7435370DA1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0BE692A37B64F6E83FC6AD4E5497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32E6BE9B8DC7426E9E4A8584BB195F82"/>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286D3E-AF23-49B8-B8E0-8DE891F2C729}">
  <ds:schemaRefs/>
</ds:datastoreItem>
</file>

<file path=docProps/app.xml><?xml version="1.0" encoding="utf-8"?>
<Properties xmlns="http://schemas.openxmlformats.org/officeDocument/2006/extended-properties" xmlns:vt="http://schemas.openxmlformats.org/officeDocument/2006/docPropsVTypes">
  <Template>国家标准.dotx</Template>
  <Company>PCMI</Company>
  <Pages>42</Pages>
  <Words>4219</Words>
  <Characters>24054</Characters>
  <Lines>200</Lines>
  <Paragraphs>56</Paragraphs>
  <TotalTime>16</TotalTime>
  <ScaleCrop>false</ScaleCrop>
  <LinksUpToDate>false</LinksUpToDate>
  <CharactersWithSpaces>28217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2022-03-27T03:43:00Z</dcterms:created>
  <dc:creator>wjj</dc:creator>
  <dc:description>&lt;config cover="true" show_menu="true" version="1.0.0" doctype="SDKXY"&gt;_x000d_
&lt;/config&gt;</dc:description>
  <cp:lastModifiedBy>李云伟</cp:lastModifiedBy>
  <cp:lastPrinted>2022-04-15T13:54:00Z</cp:lastPrinted>
  <dcterms:modified xsi:type="dcterms:W3CDTF">2022-04-29T07:53:27Z</dcterms:modified>
  <dc:title>国家标准</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2052-11.8.2.10393</vt:lpwstr>
  </property>
</Properties>
</file>